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4FCD" w:rsidRPr="00CB670D" w:rsidRDefault="00F94FCD" w:rsidP="00F94FCD">
      <w:pPr>
        <w:spacing w:after="60" w:line="360" w:lineRule="exact"/>
        <w:jc w:val="center"/>
        <w:rPr>
          <w:rFonts w:cs="Arial"/>
          <w:b/>
          <w:sz w:val="28"/>
          <w:szCs w:val="28"/>
        </w:rPr>
      </w:pPr>
      <w:r w:rsidRPr="00CB670D">
        <w:rPr>
          <w:rFonts w:cs="Arial"/>
          <w:b/>
          <w:sz w:val="28"/>
          <w:szCs w:val="28"/>
        </w:rPr>
        <w:t>Informace pro nově zvolené starosty obcí s rozšířenou působností</w:t>
      </w:r>
    </w:p>
    <w:p w:rsidR="00F94FCD" w:rsidRPr="00CB670D" w:rsidRDefault="00F94FCD" w:rsidP="00F94FCD">
      <w:pPr>
        <w:spacing w:after="60" w:line="360" w:lineRule="exact"/>
        <w:jc w:val="center"/>
        <w:rPr>
          <w:rFonts w:cs="Arial"/>
          <w:b/>
          <w:sz w:val="28"/>
          <w:szCs w:val="28"/>
        </w:rPr>
      </w:pPr>
      <w:r w:rsidRPr="00CB670D">
        <w:rPr>
          <w:rFonts w:cs="Arial"/>
          <w:b/>
          <w:sz w:val="28"/>
          <w:szCs w:val="28"/>
        </w:rPr>
        <w:t>Zákon č. 258/2000 Sb.</w:t>
      </w:r>
      <w:r w:rsidRPr="00CB670D">
        <w:rPr>
          <w:rFonts w:cs="Arial"/>
          <w:b/>
          <w:color w:val="FF0000"/>
          <w:sz w:val="28"/>
          <w:szCs w:val="28"/>
        </w:rPr>
        <w:t xml:space="preserve"> </w:t>
      </w:r>
      <w:r w:rsidRPr="00CB670D">
        <w:rPr>
          <w:rFonts w:cs="Arial"/>
          <w:b/>
          <w:color w:val="auto"/>
          <w:sz w:val="28"/>
          <w:szCs w:val="28"/>
        </w:rPr>
        <w:t>o ochraně veřejného zdraví</w:t>
      </w:r>
    </w:p>
    <w:p w:rsidR="00F94FCD" w:rsidRDefault="00F94FCD" w:rsidP="00F94FCD">
      <w:pPr>
        <w:jc w:val="center"/>
        <w:rPr>
          <w:rFonts w:cs="Arial"/>
          <w:b/>
          <w:szCs w:val="22"/>
        </w:rPr>
      </w:pPr>
    </w:p>
    <w:p w:rsidR="00F94FCD" w:rsidRDefault="00F94FCD" w:rsidP="00F94FCD">
      <w:pPr>
        <w:jc w:val="center"/>
        <w:rPr>
          <w:rFonts w:cs="Arial"/>
          <w:b/>
          <w:szCs w:val="22"/>
        </w:rPr>
      </w:pPr>
      <w:r>
        <w:rPr>
          <w:rFonts w:cs="Arial"/>
          <w:b/>
          <w:szCs w:val="22"/>
        </w:rPr>
        <w:pict>
          <v:roundrect id="_x0000_s1028" style="position:absolute;left:0;text-align:left;margin-left:8.2pt;margin-top:13.6pt;width:498.9pt;height:142.5pt;z-index:251662336" arcsize="10923f" strokecolor="#4f81bd" strokeweight="2.5pt">
            <v:fill opacity="0"/>
            <v:shadow color="#868686"/>
          </v:roundrect>
        </w:pict>
      </w:r>
    </w:p>
    <w:p w:rsidR="00F94FCD" w:rsidRDefault="00F94FCD" w:rsidP="00F94FCD">
      <w:pPr>
        <w:spacing w:before="120"/>
        <w:ind w:left="360"/>
        <w:jc w:val="center"/>
        <w:rPr>
          <w:rFonts w:cs="Arial"/>
          <w:b/>
          <w:szCs w:val="22"/>
        </w:rPr>
      </w:pPr>
      <w:r>
        <w:rPr>
          <w:rFonts w:cs="Arial"/>
          <w:b/>
          <w:szCs w:val="22"/>
        </w:rPr>
        <w:t>Krajská hygienická stanice Středočeského kraje se sídlem v Praze</w:t>
      </w:r>
    </w:p>
    <w:p w:rsidR="00F94FCD" w:rsidRDefault="00F94FCD" w:rsidP="00F94FCD">
      <w:pPr>
        <w:spacing w:before="120"/>
        <w:ind w:left="360"/>
        <w:jc w:val="center"/>
        <w:rPr>
          <w:rFonts w:cs="Arial"/>
          <w:szCs w:val="22"/>
        </w:rPr>
      </w:pPr>
      <w:r>
        <w:rPr>
          <w:rFonts w:cs="Arial"/>
          <w:szCs w:val="22"/>
        </w:rPr>
        <w:t xml:space="preserve">Ditrrichova 17, 128 01 Praha 2, ústředna: 234 118 111, </w:t>
      </w:r>
      <w:hyperlink r:id="rId5" w:history="1">
        <w:r>
          <w:rPr>
            <w:rStyle w:val="Hypertextovodkaz"/>
            <w:rFonts w:cs="Arial"/>
            <w:szCs w:val="22"/>
          </w:rPr>
          <w:t>www.khsstc.cz</w:t>
        </w:r>
      </w:hyperlink>
    </w:p>
    <w:p w:rsidR="00F94FCD" w:rsidRDefault="00F94FCD" w:rsidP="00F94FCD">
      <w:pPr>
        <w:numPr>
          <w:ilvl w:val="1"/>
          <w:numId w:val="7"/>
        </w:numPr>
        <w:tabs>
          <w:tab w:val="clear" w:pos="1440"/>
        </w:tabs>
        <w:spacing w:before="240"/>
        <w:ind w:left="900"/>
        <w:jc w:val="left"/>
        <w:rPr>
          <w:rFonts w:cs="Arial"/>
          <w:szCs w:val="22"/>
        </w:rPr>
      </w:pPr>
      <w:r>
        <w:rPr>
          <w:rFonts w:cs="Arial"/>
          <w:szCs w:val="22"/>
        </w:rPr>
        <w:t>Ředitel: JUDr. Ivo Krýsa, Ph.D., LL.M.</w:t>
      </w:r>
    </w:p>
    <w:p w:rsidR="00F94FCD" w:rsidRDefault="00F94FCD" w:rsidP="00F94FCD">
      <w:pPr>
        <w:ind w:left="902"/>
        <w:jc w:val="left"/>
        <w:rPr>
          <w:rFonts w:cs="Arial"/>
          <w:szCs w:val="22"/>
        </w:rPr>
      </w:pPr>
      <w:r>
        <w:rPr>
          <w:rFonts w:cs="Arial"/>
          <w:szCs w:val="22"/>
        </w:rPr>
        <w:t>Tel.: 234 118 215</w:t>
      </w:r>
      <w:r>
        <w:rPr>
          <w:rFonts w:cs="Arial"/>
          <w:szCs w:val="22"/>
        </w:rPr>
        <w:tab/>
      </w:r>
      <w:r>
        <w:rPr>
          <w:rFonts w:cs="Arial"/>
          <w:szCs w:val="22"/>
        </w:rPr>
        <w:tab/>
      </w:r>
      <w:r>
        <w:rPr>
          <w:rFonts w:cs="Arial"/>
          <w:szCs w:val="22"/>
        </w:rPr>
        <w:tab/>
      </w:r>
      <w:r>
        <w:rPr>
          <w:rFonts w:cs="Arial"/>
          <w:szCs w:val="22"/>
        </w:rPr>
        <w:tab/>
        <w:t xml:space="preserve">Email: </w:t>
      </w:r>
      <w:hyperlink r:id="rId6" w:history="1">
        <w:r>
          <w:rPr>
            <w:rStyle w:val="Hypertextovodkaz"/>
            <w:rFonts w:cs="Arial"/>
            <w:szCs w:val="22"/>
          </w:rPr>
          <w:t>info@khsstc.cz</w:t>
        </w:r>
      </w:hyperlink>
    </w:p>
    <w:p w:rsidR="00F94FCD" w:rsidRDefault="00F94FCD" w:rsidP="00F94FCD">
      <w:pPr>
        <w:numPr>
          <w:ilvl w:val="1"/>
          <w:numId w:val="7"/>
        </w:numPr>
        <w:tabs>
          <w:tab w:val="clear" w:pos="1440"/>
        </w:tabs>
        <w:spacing w:before="240"/>
        <w:ind w:left="900"/>
        <w:jc w:val="left"/>
        <w:rPr>
          <w:rFonts w:cs="Arial"/>
          <w:szCs w:val="22"/>
        </w:rPr>
      </w:pPr>
      <w:r>
        <w:rPr>
          <w:rFonts w:cs="Arial"/>
          <w:szCs w:val="22"/>
        </w:rPr>
        <w:t>Krizový manager: Mgr. Šárka Nováková</w:t>
      </w:r>
    </w:p>
    <w:p w:rsidR="00F94FCD" w:rsidRDefault="00F94FCD" w:rsidP="00F94FCD">
      <w:pPr>
        <w:ind w:left="902"/>
        <w:jc w:val="left"/>
        <w:rPr>
          <w:rFonts w:cs="Arial"/>
          <w:szCs w:val="22"/>
        </w:rPr>
      </w:pPr>
      <w:r>
        <w:rPr>
          <w:rFonts w:cs="Arial"/>
          <w:szCs w:val="22"/>
        </w:rPr>
        <w:t>Tel.: 234 118 280, 736 521 423</w:t>
      </w:r>
      <w:r>
        <w:rPr>
          <w:rFonts w:cs="Arial"/>
          <w:szCs w:val="22"/>
        </w:rPr>
        <w:tab/>
      </w:r>
      <w:r>
        <w:rPr>
          <w:rFonts w:cs="Arial"/>
          <w:szCs w:val="22"/>
        </w:rPr>
        <w:tab/>
        <w:t xml:space="preserve">Email: </w:t>
      </w:r>
      <w:hyperlink r:id="rId7" w:history="1">
        <w:r>
          <w:rPr>
            <w:rStyle w:val="Hypertextovodkaz"/>
            <w:rFonts w:cs="Arial"/>
            <w:szCs w:val="22"/>
          </w:rPr>
          <w:t>sarka.novakova@khsstc.cz</w:t>
        </w:r>
      </w:hyperlink>
      <w:r>
        <w:rPr>
          <w:rFonts w:cs="Arial"/>
          <w:szCs w:val="22"/>
        </w:rPr>
        <w:t xml:space="preserve"> </w:t>
      </w:r>
    </w:p>
    <w:p w:rsidR="00F94FCD" w:rsidRDefault="00F94FCD" w:rsidP="00F94FCD">
      <w:pPr>
        <w:jc w:val="center"/>
        <w:rPr>
          <w:rFonts w:cs="Arial"/>
          <w:b/>
          <w:szCs w:val="22"/>
        </w:rPr>
      </w:pPr>
    </w:p>
    <w:p w:rsidR="00F94FCD" w:rsidRDefault="00F94FCD" w:rsidP="00F94FCD">
      <w:pPr>
        <w:jc w:val="center"/>
        <w:rPr>
          <w:rFonts w:cs="Arial"/>
          <w:b/>
          <w:szCs w:val="22"/>
        </w:rPr>
      </w:pPr>
    </w:p>
    <w:p w:rsidR="00F94FCD" w:rsidRDefault="00F94FCD" w:rsidP="00F94FCD">
      <w:pPr>
        <w:jc w:val="center"/>
        <w:rPr>
          <w:rFonts w:cs="Arial"/>
          <w:b/>
          <w:szCs w:val="22"/>
        </w:rPr>
      </w:pPr>
    </w:p>
    <w:p w:rsidR="00F94FCD" w:rsidRDefault="00F94FCD" w:rsidP="00F94FCD">
      <w:pPr>
        <w:spacing w:before="120"/>
        <w:rPr>
          <w:rFonts w:cs="Arial"/>
          <w:b/>
          <w:color w:val="auto"/>
          <w:sz w:val="24"/>
          <w:u w:val="single"/>
        </w:rPr>
      </w:pPr>
      <w:r>
        <w:rPr>
          <w:rFonts w:cs="Arial"/>
          <w:b/>
          <w:color w:val="auto"/>
          <w:sz w:val="24"/>
          <w:u w:val="single"/>
        </w:rPr>
        <w:t>I. Obecné informace</w:t>
      </w:r>
    </w:p>
    <w:p w:rsidR="00F94FCD" w:rsidRDefault="00F94FCD" w:rsidP="00F94FCD">
      <w:pPr>
        <w:tabs>
          <w:tab w:val="left" w:pos="426"/>
        </w:tabs>
        <w:spacing w:before="120"/>
        <w:ind w:left="426" w:hanging="426"/>
        <w:rPr>
          <w:rFonts w:cs="Arial"/>
          <w:color w:val="auto"/>
          <w:szCs w:val="22"/>
        </w:rPr>
      </w:pPr>
      <w:r>
        <w:rPr>
          <w:rFonts w:cs="Arial"/>
          <w:color w:val="auto"/>
          <w:szCs w:val="22"/>
        </w:rPr>
        <w:t xml:space="preserve">1. </w:t>
      </w:r>
      <w:r>
        <w:rPr>
          <w:rFonts w:cs="Arial"/>
          <w:color w:val="auto"/>
          <w:szCs w:val="22"/>
        </w:rPr>
        <w:tab/>
        <w:t xml:space="preserve">Při vzniku krizové sitauce a v době jejího řešení zveřejňuje </w:t>
      </w:r>
      <w:r>
        <w:rPr>
          <w:rFonts w:cs="Arial"/>
          <w:b/>
          <w:color w:val="auto"/>
          <w:szCs w:val="22"/>
        </w:rPr>
        <w:t>Ministerstvo zdravotnictví</w:t>
      </w:r>
      <w:r>
        <w:rPr>
          <w:rFonts w:cs="Arial"/>
          <w:color w:val="auto"/>
          <w:szCs w:val="22"/>
        </w:rPr>
        <w:t xml:space="preserve"> na svých internetových stránkách </w:t>
      </w:r>
      <w:hyperlink r:id="rId8" w:history="1">
        <w:r>
          <w:rPr>
            <w:rStyle w:val="Hypertextovodkaz"/>
            <w:rFonts w:cs="Arial"/>
            <w:b/>
            <w:color w:val="auto"/>
            <w:szCs w:val="22"/>
          </w:rPr>
          <w:t>www.mzcr.cz</w:t>
        </w:r>
      </w:hyperlink>
      <w:r>
        <w:rPr>
          <w:rFonts w:cs="Arial"/>
          <w:b/>
          <w:color w:val="auto"/>
          <w:szCs w:val="22"/>
        </w:rPr>
        <w:t xml:space="preserve"> </w:t>
      </w:r>
      <w:r>
        <w:rPr>
          <w:rFonts w:cs="Arial"/>
          <w:color w:val="auto"/>
          <w:szCs w:val="22"/>
        </w:rPr>
        <w:t>v části pro širokou veřejnost informace a pokyny k jejich řešení. Přehled všech krajských hygienických stanic včetně kontaktních údajů je uveden na stránkách MZ ČR (</w:t>
      </w:r>
      <w:hyperlink r:id="rId9" w:history="1">
        <w:r w:rsidRPr="008502F5">
          <w:rPr>
            <w:rStyle w:val="Hypertextovodkaz"/>
            <w:rFonts w:cs="Arial"/>
            <w:szCs w:val="22"/>
          </w:rPr>
          <w:t>http://www.mzcr.cz/Verejne/dokumenty/krajske-hygienicke-stanice_7735_1206_5.html</w:t>
        </w:r>
      </w:hyperlink>
      <w:r>
        <w:rPr>
          <w:rFonts w:cs="Arial"/>
          <w:color w:val="auto"/>
          <w:szCs w:val="22"/>
        </w:rPr>
        <w:t>).</w:t>
      </w:r>
    </w:p>
    <w:p w:rsidR="00F94FCD" w:rsidRDefault="00F94FCD" w:rsidP="00F94FCD">
      <w:pPr>
        <w:numPr>
          <w:ilvl w:val="0"/>
          <w:numId w:val="23"/>
        </w:numPr>
        <w:tabs>
          <w:tab w:val="clear" w:pos="786"/>
          <w:tab w:val="num" w:pos="426"/>
        </w:tabs>
        <w:spacing w:before="120"/>
        <w:ind w:left="426"/>
        <w:rPr>
          <w:rFonts w:cs="Arial"/>
          <w:color w:val="auto"/>
          <w:szCs w:val="22"/>
        </w:rPr>
      </w:pPr>
      <w:r>
        <w:rPr>
          <w:rFonts w:cs="Arial"/>
          <w:color w:val="auto"/>
          <w:szCs w:val="22"/>
        </w:rPr>
        <w:t>Při vzniku krizové situace</w:t>
      </w:r>
      <w:r>
        <w:rPr>
          <w:rFonts w:cs="Arial"/>
          <w:color w:val="auto"/>
          <w:szCs w:val="22"/>
        </w:rPr>
        <w:t xml:space="preserve"> a v době jejího řešení zveřejňuje </w:t>
      </w:r>
      <w:r>
        <w:rPr>
          <w:rFonts w:cs="Arial"/>
          <w:color w:val="auto"/>
          <w:szCs w:val="22"/>
        </w:rPr>
        <w:t xml:space="preserve">na svých internetových stránkách aktuální informace, doporučení a informační materiály </w:t>
      </w:r>
      <w:r>
        <w:rPr>
          <w:rFonts w:cs="Arial"/>
          <w:b/>
          <w:color w:val="auto"/>
          <w:szCs w:val="22"/>
        </w:rPr>
        <w:t>Krajská hygienická stanice Středočeského kraje</w:t>
      </w:r>
      <w:r>
        <w:rPr>
          <w:rFonts w:cs="Arial"/>
          <w:color w:val="auto"/>
          <w:szCs w:val="22"/>
        </w:rPr>
        <w:t xml:space="preserve"> (</w:t>
      </w:r>
      <w:hyperlink r:id="rId10" w:history="1">
        <w:r w:rsidRPr="008502F5">
          <w:rPr>
            <w:rStyle w:val="Hypertextovodkaz"/>
            <w:rFonts w:cs="Arial"/>
            <w:szCs w:val="22"/>
          </w:rPr>
          <w:t>www.khsstc.cz</w:t>
        </w:r>
      </w:hyperlink>
      <w:r>
        <w:rPr>
          <w:rFonts w:cs="Arial"/>
          <w:color w:val="auto"/>
          <w:szCs w:val="22"/>
        </w:rPr>
        <w:t>).</w:t>
      </w:r>
    </w:p>
    <w:p w:rsidR="00F94FCD" w:rsidRDefault="00F94FCD" w:rsidP="00F94FCD">
      <w:pPr>
        <w:numPr>
          <w:ilvl w:val="0"/>
          <w:numId w:val="23"/>
        </w:numPr>
        <w:tabs>
          <w:tab w:val="clear" w:pos="786"/>
          <w:tab w:val="num" w:pos="426"/>
        </w:tabs>
        <w:spacing w:before="120"/>
        <w:ind w:left="426"/>
        <w:rPr>
          <w:rFonts w:cs="Arial"/>
          <w:color w:val="auto"/>
          <w:szCs w:val="22"/>
        </w:rPr>
      </w:pPr>
      <w:r>
        <w:rPr>
          <w:rFonts w:cs="Arial"/>
          <w:color w:val="auto"/>
          <w:szCs w:val="22"/>
        </w:rPr>
        <w:t>Krajská hygienická stanice Středočeského kraje (ředitel) navrhuje své zástupce do krizových štábů ORP, bezpečnostních rad OPR a povodňových komisí ORP na základě požadavku</w:t>
      </w:r>
      <w:r w:rsidR="001E1E70" w:rsidRPr="001E1E70">
        <w:rPr>
          <w:rFonts w:cs="Arial"/>
          <w:color w:val="auto"/>
          <w:szCs w:val="22"/>
        </w:rPr>
        <w:t xml:space="preserve"> </w:t>
      </w:r>
      <w:r w:rsidR="001E1E70">
        <w:rPr>
          <w:rFonts w:cs="Arial"/>
          <w:color w:val="auto"/>
          <w:szCs w:val="22"/>
        </w:rPr>
        <w:t>vzneseného</w:t>
      </w:r>
      <w:r>
        <w:rPr>
          <w:rFonts w:cs="Arial"/>
          <w:color w:val="auto"/>
          <w:szCs w:val="22"/>
        </w:rPr>
        <w:t xml:space="preserve"> starosty ORP.</w:t>
      </w:r>
    </w:p>
    <w:p w:rsidR="00F94FCD" w:rsidRDefault="00F94FCD" w:rsidP="00F94FCD">
      <w:pPr>
        <w:spacing w:before="240"/>
        <w:ind w:left="357" w:hanging="357"/>
        <w:jc w:val="left"/>
        <w:rPr>
          <w:rFonts w:cs="Arial"/>
          <w:szCs w:val="22"/>
        </w:rPr>
      </w:pPr>
    </w:p>
    <w:p w:rsidR="00F94FCD" w:rsidRDefault="00F94FCD" w:rsidP="00F94FCD">
      <w:pPr>
        <w:spacing w:before="240"/>
        <w:ind w:left="357"/>
        <w:jc w:val="left"/>
        <w:rPr>
          <w:rFonts w:cs="Arial"/>
          <w:szCs w:val="22"/>
        </w:rPr>
      </w:pPr>
      <w:r>
        <w:rPr>
          <w:rFonts w:cs="Arial"/>
          <w:szCs w:val="22"/>
        </w:rPr>
        <w:t>Organizační struktura KHS Středočeského kraje – viz příloha č. 1</w:t>
      </w:r>
    </w:p>
    <w:p w:rsidR="00F94FCD" w:rsidRDefault="00F94FCD" w:rsidP="00F94FCD">
      <w:pPr>
        <w:spacing w:before="120"/>
        <w:ind w:left="360"/>
        <w:jc w:val="left"/>
        <w:rPr>
          <w:rFonts w:cs="Arial"/>
          <w:szCs w:val="22"/>
        </w:rPr>
      </w:pPr>
      <w:r>
        <w:rPr>
          <w:rFonts w:cs="Arial"/>
          <w:szCs w:val="22"/>
        </w:rPr>
        <w:t>Kontaktní údaje na vedoucí pracovníky KHS Středočeského kraje – viz příloha č. 2</w:t>
      </w:r>
    </w:p>
    <w:p w:rsidR="00F94FCD" w:rsidRDefault="00F94FCD" w:rsidP="00F94FCD">
      <w:pPr>
        <w:spacing w:before="120"/>
        <w:ind w:left="426"/>
        <w:jc w:val="left"/>
        <w:rPr>
          <w:rFonts w:cs="Arial"/>
          <w:szCs w:val="22"/>
        </w:rPr>
      </w:pPr>
      <w:r>
        <w:rPr>
          <w:rFonts w:cs="Arial"/>
          <w:szCs w:val="22"/>
        </w:rPr>
        <w:t>Činnost KHS a jednotlivých odborů – viz příloha č. 3</w:t>
      </w:r>
    </w:p>
    <w:p w:rsidR="00F94FCD" w:rsidRDefault="00F94FCD" w:rsidP="00F94FCD">
      <w:pPr>
        <w:spacing w:before="120"/>
        <w:ind w:left="360" w:hanging="360"/>
        <w:jc w:val="left"/>
        <w:rPr>
          <w:rFonts w:cs="Arial"/>
          <w:b/>
          <w:color w:val="auto"/>
          <w:sz w:val="24"/>
          <w:u w:val="single"/>
        </w:rPr>
      </w:pPr>
      <w:r>
        <w:rPr>
          <w:rFonts w:cs="Arial"/>
          <w:szCs w:val="22"/>
        </w:rPr>
        <w:br w:type="page"/>
      </w:r>
      <w:r>
        <w:rPr>
          <w:rFonts w:cs="Arial"/>
          <w:b/>
          <w:sz w:val="24"/>
        </w:rPr>
        <w:lastRenderedPageBreak/>
        <w:t>I</w:t>
      </w:r>
      <w:r>
        <w:rPr>
          <w:rFonts w:cs="Arial"/>
          <w:b/>
          <w:color w:val="auto"/>
          <w:sz w:val="24"/>
          <w:u w:val="single"/>
        </w:rPr>
        <w:t>I. Odborné informace</w:t>
      </w:r>
    </w:p>
    <w:p w:rsidR="00F94FCD" w:rsidRPr="000242CB" w:rsidRDefault="00F94FCD" w:rsidP="00F94FCD">
      <w:pPr>
        <w:pStyle w:val="Nadpis4"/>
        <w:rPr>
          <w:sz w:val="24"/>
          <w:szCs w:val="24"/>
        </w:rPr>
      </w:pPr>
      <w:r w:rsidRPr="000242CB">
        <w:rPr>
          <w:sz w:val="24"/>
          <w:szCs w:val="24"/>
        </w:rPr>
        <w:t xml:space="preserve"> Oblast prevence infekčních onemocnění</w:t>
      </w:r>
    </w:p>
    <w:p w:rsidR="00F94FCD" w:rsidRDefault="00F94FCD" w:rsidP="00F94FCD">
      <w:pPr>
        <w:pStyle w:val="Nadpis4"/>
        <w:rPr>
          <w:sz w:val="24"/>
          <w:szCs w:val="24"/>
        </w:rPr>
      </w:pPr>
      <w:r>
        <w:rPr>
          <w:sz w:val="24"/>
          <w:szCs w:val="24"/>
        </w:rPr>
        <w:t>(</w:t>
      </w:r>
      <w:r w:rsidRPr="000242CB">
        <w:rPr>
          <w:sz w:val="24"/>
          <w:szCs w:val="24"/>
        </w:rPr>
        <w:t>Protiepidemický odbor</w:t>
      </w:r>
      <w:r>
        <w:rPr>
          <w:sz w:val="24"/>
          <w:szCs w:val="24"/>
        </w:rPr>
        <w:t>)</w:t>
      </w:r>
    </w:p>
    <w:p w:rsidR="00F94FCD" w:rsidRDefault="00F94FCD" w:rsidP="00F94FCD">
      <w:pPr>
        <w:rPr>
          <w:rFonts w:cs="Arial"/>
          <w:szCs w:val="22"/>
        </w:rPr>
      </w:pPr>
    </w:p>
    <w:p w:rsidR="00F94FCD" w:rsidRDefault="00F94FCD" w:rsidP="00F94FCD">
      <w:pPr>
        <w:numPr>
          <w:ilvl w:val="0"/>
          <w:numId w:val="5"/>
        </w:numPr>
        <w:tabs>
          <w:tab w:val="clear" w:pos="720"/>
          <w:tab w:val="num" w:pos="360"/>
        </w:tabs>
        <w:ind w:left="360"/>
        <w:rPr>
          <w:rFonts w:cs="Arial"/>
          <w:szCs w:val="22"/>
          <w:u w:val="single"/>
        </w:rPr>
      </w:pPr>
      <w:r>
        <w:rPr>
          <w:rFonts w:cs="Arial"/>
          <w:szCs w:val="22"/>
          <w:u w:val="single"/>
        </w:rPr>
        <w:t>Očkování proti infekčním onemocněním</w:t>
      </w:r>
    </w:p>
    <w:p w:rsidR="00F94FCD" w:rsidRDefault="00F94FCD" w:rsidP="00F94FCD">
      <w:pPr>
        <w:numPr>
          <w:ilvl w:val="1"/>
          <w:numId w:val="5"/>
        </w:numPr>
        <w:tabs>
          <w:tab w:val="clear" w:pos="1440"/>
          <w:tab w:val="num" w:pos="720"/>
        </w:tabs>
        <w:spacing w:before="120"/>
        <w:ind w:left="720"/>
        <w:rPr>
          <w:rFonts w:cs="Arial"/>
          <w:color w:val="auto"/>
          <w:szCs w:val="22"/>
        </w:rPr>
      </w:pPr>
      <w:r>
        <w:rPr>
          <w:rFonts w:cs="Arial"/>
          <w:b/>
          <w:color w:val="auto"/>
          <w:szCs w:val="22"/>
        </w:rPr>
        <w:t>pravidelné</w:t>
      </w:r>
      <w:r>
        <w:rPr>
          <w:rFonts w:cs="Arial"/>
          <w:color w:val="auto"/>
          <w:szCs w:val="22"/>
        </w:rPr>
        <w:t xml:space="preserve"> (např. očkování v dětském věku – tzv. „očkovací kalendář“, očkování v dospělosti proti tetanu),</w:t>
      </w:r>
    </w:p>
    <w:p w:rsidR="00F94FCD" w:rsidRDefault="00F94FCD" w:rsidP="00F94FCD">
      <w:pPr>
        <w:numPr>
          <w:ilvl w:val="1"/>
          <w:numId w:val="5"/>
        </w:numPr>
        <w:tabs>
          <w:tab w:val="clear" w:pos="1440"/>
          <w:tab w:val="num" w:pos="720"/>
        </w:tabs>
        <w:spacing w:before="120"/>
        <w:ind w:left="720"/>
        <w:rPr>
          <w:rFonts w:cs="Arial"/>
          <w:color w:val="auto"/>
          <w:szCs w:val="22"/>
        </w:rPr>
      </w:pPr>
      <w:r>
        <w:rPr>
          <w:rFonts w:cs="Arial"/>
          <w:b/>
          <w:color w:val="auto"/>
          <w:szCs w:val="22"/>
        </w:rPr>
        <w:t>zvláštní</w:t>
      </w:r>
      <w:r>
        <w:rPr>
          <w:rFonts w:cs="Arial"/>
          <w:color w:val="auto"/>
          <w:szCs w:val="22"/>
        </w:rPr>
        <w:t xml:space="preserve"> (souvisí s určitou činností na vybraných pracovištích zaměstnavatele - např. očkování proti virovému zánětu jater typu B u zdravotníků, očkování složek IZS proti virovému zánětu jater typu A a proti virovému zánětu jater typu B),</w:t>
      </w:r>
    </w:p>
    <w:p w:rsidR="00F94FCD" w:rsidRPr="00FF6278" w:rsidRDefault="00F94FCD" w:rsidP="00F94FCD">
      <w:pPr>
        <w:numPr>
          <w:ilvl w:val="1"/>
          <w:numId w:val="5"/>
        </w:numPr>
        <w:tabs>
          <w:tab w:val="clear" w:pos="1440"/>
          <w:tab w:val="num" w:pos="720"/>
        </w:tabs>
        <w:spacing w:before="120"/>
        <w:ind w:left="720"/>
        <w:rPr>
          <w:rFonts w:cs="Arial"/>
          <w:szCs w:val="22"/>
        </w:rPr>
      </w:pPr>
      <w:r w:rsidRPr="00FF6278">
        <w:rPr>
          <w:rFonts w:cs="Arial"/>
          <w:b/>
          <w:szCs w:val="22"/>
        </w:rPr>
        <w:t xml:space="preserve">mimořádné </w:t>
      </w:r>
      <w:r w:rsidRPr="00FF6278">
        <w:rPr>
          <w:rFonts w:cs="Arial"/>
          <w:szCs w:val="22"/>
        </w:rPr>
        <w:t>(nařizuje místně příslušný OOVZ, tj. Krajská hygienická stanice Středočeského kraje (dále jen KHS StčK) po předchozím souhlasu hlavního hygienika ČR k prevenci infekcí v mimořádných situacích - např. očkování proti virovému zánětu jater typu A v ohnisku nákazy, po povodních, apod.).</w:t>
      </w:r>
    </w:p>
    <w:p w:rsidR="00F94FCD" w:rsidRDefault="00F94FCD" w:rsidP="00F94FCD">
      <w:pPr>
        <w:spacing w:before="120"/>
        <w:rPr>
          <w:rFonts w:cs="Arial"/>
          <w:szCs w:val="22"/>
        </w:rPr>
      </w:pPr>
      <w:r>
        <w:rPr>
          <w:rFonts w:cs="Arial"/>
          <w:szCs w:val="22"/>
        </w:rPr>
        <w:t>Podmínky pro výše uvedená očkování stanoví zákon o ochraně veřejného zdraví. Očkovací látky pro výše uvedená očkování jsou hrazeny ze státního rozpočtu a dodávány distributorem očkujícím lékařům.</w:t>
      </w:r>
    </w:p>
    <w:p w:rsidR="00F94FCD" w:rsidRPr="007720D8" w:rsidRDefault="00F94FCD" w:rsidP="00F94FCD">
      <w:pPr>
        <w:pStyle w:val="Zkladntext"/>
        <w:spacing w:before="120" w:line="300" w:lineRule="exact"/>
        <w:rPr>
          <w:rFonts w:ascii="Arial" w:hAnsi="Arial" w:cs="Arial"/>
          <w:sz w:val="22"/>
          <w:szCs w:val="22"/>
        </w:rPr>
      </w:pPr>
      <w:r w:rsidRPr="00C92B66">
        <w:rPr>
          <w:rFonts w:ascii="Arial" w:hAnsi="Arial" w:cs="Arial"/>
          <w:sz w:val="22"/>
          <w:szCs w:val="22"/>
        </w:rPr>
        <w:t>KHS kontroluje činnost zdravotnických zařízení z hlediska provádění očkování a dodržování podmínek použití a skladování očkovacích látek stanovených výrobcem</w:t>
      </w:r>
      <w:r>
        <w:rPr>
          <w:rFonts w:ascii="Arial" w:hAnsi="Arial" w:cs="Arial"/>
          <w:sz w:val="22"/>
          <w:szCs w:val="22"/>
        </w:rPr>
        <w:t>:</w:t>
      </w:r>
    </w:p>
    <w:p w:rsidR="00F94FCD" w:rsidRDefault="00F94FCD" w:rsidP="00F94FCD">
      <w:pPr>
        <w:numPr>
          <w:ilvl w:val="1"/>
          <w:numId w:val="5"/>
        </w:numPr>
        <w:tabs>
          <w:tab w:val="clear" w:pos="1440"/>
          <w:tab w:val="num" w:pos="720"/>
        </w:tabs>
        <w:spacing w:before="120"/>
        <w:ind w:left="720"/>
        <w:rPr>
          <w:rFonts w:cs="Arial"/>
          <w:szCs w:val="22"/>
        </w:rPr>
      </w:pPr>
      <w:r>
        <w:rPr>
          <w:rFonts w:cs="Arial"/>
          <w:b/>
          <w:szCs w:val="22"/>
        </w:rPr>
        <w:t>očkování na žádost fyzické osoby</w:t>
      </w:r>
      <w:r>
        <w:rPr>
          <w:rFonts w:cs="Arial"/>
          <w:bCs/>
          <w:szCs w:val="22"/>
        </w:rPr>
        <w:t xml:space="preserve"> (nadstandardní, nehrazené ze státního rozpočtu, aplikace vakcíny v očkovacích střediscích nebo u registrujícího praktického lékaře pro dospělé nebo pro děti a dorost).</w:t>
      </w:r>
    </w:p>
    <w:p w:rsidR="00F94FCD" w:rsidRDefault="00F94FCD" w:rsidP="00F94FCD">
      <w:pPr>
        <w:rPr>
          <w:rFonts w:cs="Arial"/>
          <w:szCs w:val="22"/>
        </w:rPr>
      </w:pPr>
    </w:p>
    <w:p w:rsidR="00F94FCD" w:rsidRDefault="00F94FCD" w:rsidP="00F94FCD">
      <w:pPr>
        <w:numPr>
          <w:ilvl w:val="0"/>
          <w:numId w:val="5"/>
        </w:numPr>
        <w:tabs>
          <w:tab w:val="clear" w:pos="720"/>
          <w:tab w:val="num" w:pos="360"/>
        </w:tabs>
        <w:ind w:left="360"/>
        <w:jc w:val="left"/>
        <w:rPr>
          <w:rFonts w:cs="Arial"/>
          <w:color w:val="auto"/>
          <w:szCs w:val="22"/>
          <w:u w:val="single"/>
        </w:rPr>
      </w:pPr>
      <w:r>
        <w:rPr>
          <w:rFonts w:cs="Arial"/>
          <w:color w:val="auto"/>
          <w:szCs w:val="22"/>
          <w:u w:val="single"/>
        </w:rPr>
        <w:t>Opatření proti šíření infekčních onemocnění</w:t>
      </w:r>
    </w:p>
    <w:p w:rsidR="00F94FCD" w:rsidRPr="006236B4" w:rsidRDefault="00F94FCD" w:rsidP="00F94FCD">
      <w:pPr>
        <w:numPr>
          <w:ilvl w:val="1"/>
          <w:numId w:val="5"/>
        </w:numPr>
        <w:tabs>
          <w:tab w:val="clear" w:pos="1440"/>
          <w:tab w:val="num" w:pos="720"/>
        </w:tabs>
        <w:spacing w:before="120"/>
        <w:ind w:left="714" w:hanging="357"/>
        <w:rPr>
          <w:rFonts w:cs="Arial"/>
          <w:color w:val="auto"/>
          <w:szCs w:val="22"/>
        </w:rPr>
      </w:pPr>
      <w:r>
        <w:t xml:space="preserve">zdravotnické zařízení, resp. osoba poskytující zdravotní péči, které zjistí infekční onemocnění, podezření na takové onemocnění nebo úmrtí na ně či vylučování původců infekčních nemocí, hlásí tyto skutečnosti neprodleně místně příslušnému orgánu ochrany veřejného zdraví (OOVZ), </w:t>
      </w:r>
    </w:p>
    <w:p w:rsidR="00F94FCD" w:rsidRPr="006236B4" w:rsidRDefault="00F94FCD" w:rsidP="00F94FCD">
      <w:pPr>
        <w:numPr>
          <w:ilvl w:val="1"/>
          <w:numId w:val="5"/>
        </w:numPr>
        <w:tabs>
          <w:tab w:val="clear" w:pos="1440"/>
          <w:tab w:val="num" w:pos="720"/>
        </w:tabs>
        <w:spacing w:before="120"/>
        <w:ind w:left="714" w:hanging="357"/>
        <w:rPr>
          <w:rFonts w:cs="Arial"/>
          <w:color w:val="auto"/>
          <w:szCs w:val="22"/>
        </w:rPr>
      </w:pPr>
      <w:r w:rsidRPr="006236B4">
        <w:t>pracovníci OOVZ</w:t>
      </w:r>
      <w:r>
        <w:t>, tj.</w:t>
      </w:r>
      <w:r w:rsidRPr="006236B4">
        <w:t xml:space="preserve"> </w:t>
      </w:r>
      <w:r>
        <w:t>KHS StčK (protiepidemický odbor)</w:t>
      </w:r>
      <w:r w:rsidR="001E1E70">
        <w:t>,</w:t>
      </w:r>
      <w:r w:rsidRPr="006236B4">
        <w:t xml:space="preserve"> provád</w:t>
      </w:r>
      <w:r w:rsidR="001E1E70">
        <w:t>ějí</w:t>
      </w:r>
      <w:r w:rsidRPr="006236B4">
        <w:t xml:space="preserve"> epidemiologická šetření zaměřená zejména na ověření diagnózy a zjištění ohniska nákazy, tj. místa, ve kterém se šíří nákaza, jehož součástí je nebo byl zdroj nákazy, osoby z nákazy podezřelé a složky jejich prostředí</w:t>
      </w:r>
      <w:r>
        <w:t>,</w:t>
      </w:r>
    </w:p>
    <w:p w:rsidR="00F94FCD" w:rsidRPr="006236B4" w:rsidRDefault="00F94FCD" w:rsidP="00F94FCD">
      <w:pPr>
        <w:pStyle w:val="Zkladntext"/>
        <w:numPr>
          <w:ilvl w:val="0"/>
          <w:numId w:val="21"/>
        </w:numPr>
        <w:spacing w:before="120" w:line="300" w:lineRule="exact"/>
        <w:rPr>
          <w:rFonts w:ascii="Arial" w:hAnsi="Arial" w:cs="Arial"/>
          <w:sz w:val="22"/>
          <w:szCs w:val="22"/>
        </w:rPr>
      </w:pPr>
      <w:r w:rsidRPr="006236B4">
        <w:rPr>
          <w:rFonts w:ascii="Arial" w:hAnsi="Arial" w:cs="Arial"/>
          <w:sz w:val="22"/>
          <w:szCs w:val="22"/>
        </w:rPr>
        <w:t>na základě výsledků epidemiologického šetření nařizují, organizují, řídí a popř. i provád</w:t>
      </w:r>
      <w:r w:rsidR="001E1E70">
        <w:rPr>
          <w:rFonts w:ascii="Arial" w:hAnsi="Arial" w:cs="Arial"/>
          <w:sz w:val="22"/>
          <w:szCs w:val="22"/>
        </w:rPr>
        <w:t>ějí</w:t>
      </w:r>
      <w:r w:rsidRPr="006236B4">
        <w:rPr>
          <w:rFonts w:ascii="Arial" w:hAnsi="Arial" w:cs="Arial"/>
          <w:sz w:val="22"/>
          <w:szCs w:val="22"/>
        </w:rPr>
        <w:t xml:space="preserve"> opatření k předcházení vzniku a </w:t>
      </w:r>
      <w:r w:rsidR="001E1E70">
        <w:rPr>
          <w:rFonts w:ascii="Arial" w:hAnsi="Arial" w:cs="Arial"/>
          <w:sz w:val="22"/>
          <w:szCs w:val="22"/>
        </w:rPr>
        <w:t xml:space="preserve">k </w:t>
      </w:r>
      <w:r w:rsidRPr="006236B4">
        <w:rPr>
          <w:rFonts w:ascii="Arial" w:hAnsi="Arial" w:cs="Arial"/>
          <w:sz w:val="22"/>
          <w:szCs w:val="22"/>
        </w:rPr>
        <w:t>zamezení šíření infekčních onemocnění</w:t>
      </w:r>
      <w:r>
        <w:rPr>
          <w:rFonts w:ascii="Arial" w:hAnsi="Arial" w:cs="Arial"/>
          <w:sz w:val="22"/>
          <w:szCs w:val="22"/>
        </w:rPr>
        <w:t>,</w:t>
      </w:r>
    </w:p>
    <w:p w:rsidR="00F94FCD" w:rsidRPr="006236B4" w:rsidRDefault="00F94FCD" w:rsidP="00F94FCD">
      <w:pPr>
        <w:numPr>
          <w:ilvl w:val="0"/>
          <w:numId w:val="22"/>
        </w:numPr>
        <w:spacing w:before="120"/>
        <w:rPr>
          <w:rFonts w:cs="Arial"/>
          <w:szCs w:val="22"/>
        </w:rPr>
      </w:pPr>
      <w:r w:rsidRPr="006236B4">
        <w:rPr>
          <w:rFonts w:cs="Arial"/>
          <w:szCs w:val="22"/>
        </w:rPr>
        <w:t xml:space="preserve">ve vztahu k osobám nemocným či z nákazy podezřelým nařízují </w:t>
      </w:r>
      <w:r>
        <w:rPr>
          <w:rFonts w:cs="Arial"/>
          <w:szCs w:val="22"/>
        </w:rPr>
        <w:t xml:space="preserve">pracovníci KHS </w:t>
      </w:r>
      <w:r w:rsidRPr="006236B4">
        <w:rPr>
          <w:rFonts w:cs="Arial"/>
          <w:szCs w:val="22"/>
        </w:rPr>
        <w:t>izolaci, karanténní opatření, zákaz činností, které by vedly k dalšímu šíření onemocnění, ohniskovou ochrannou dezinfekci, dezinsekci, deratizaci</w:t>
      </w:r>
      <w:r>
        <w:rPr>
          <w:rFonts w:cs="Arial"/>
          <w:szCs w:val="22"/>
        </w:rPr>
        <w:t>,</w:t>
      </w:r>
    </w:p>
    <w:p w:rsidR="00F94FCD" w:rsidRPr="006236B4" w:rsidRDefault="00F94FCD" w:rsidP="00F94FCD">
      <w:pPr>
        <w:numPr>
          <w:ilvl w:val="0"/>
          <w:numId w:val="22"/>
        </w:numPr>
        <w:spacing w:before="120"/>
        <w:rPr>
          <w:rFonts w:cs="Arial"/>
          <w:szCs w:val="22"/>
        </w:rPr>
      </w:pPr>
      <w:r w:rsidRPr="006236B4">
        <w:rPr>
          <w:rFonts w:cs="Arial"/>
          <w:szCs w:val="22"/>
        </w:rPr>
        <w:t xml:space="preserve">izolace nemocných osob doma či ve zdravotnickém zařízení </w:t>
      </w:r>
      <w:r w:rsidR="001E1E70">
        <w:rPr>
          <w:rFonts w:cs="Arial"/>
          <w:szCs w:val="22"/>
        </w:rPr>
        <w:t xml:space="preserve">v </w:t>
      </w:r>
      <w:r w:rsidRPr="006236B4">
        <w:rPr>
          <w:rFonts w:cs="Arial"/>
          <w:szCs w:val="22"/>
        </w:rPr>
        <w:t>případ</w:t>
      </w:r>
      <w:r w:rsidR="001E1E70">
        <w:rPr>
          <w:rFonts w:cs="Arial"/>
          <w:szCs w:val="22"/>
        </w:rPr>
        <w:t>ě</w:t>
      </w:r>
      <w:r w:rsidRPr="006236B4">
        <w:rPr>
          <w:rFonts w:cs="Arial"/>
          <w:szCs w:val="22"/>
        </w:rPr>
        <w:t xml:space="preserve"> infekčních onemocnění, </w:t>
      </w:r>
      <w:r w:rsidR="001E1E70">
        <w:rPr>
          <w:rFonts w:cs="Arial"/>
          <w:szCs w:val="22"/>
        </w:rPr>
        <w:t>u kterých</w:t>
      </w:r>
      <w:r w:rsidRPr="006236B4">
        <w:rPr>
          <w:rFonts w:cs="Arial"/>
          <w:szCs w:val="22"/>
        </w:rPr>
        <w:t xml:space="preserve"> </w:t>
      </w:r>
      <w:r>
        <w:rPr>
          <w:rFonts w:cs="Arial"/>
          <w:szCs w:val="22"/>
        </w:rPr>
        <w:t xml:space="preserve">je </w:t>
      </w:r>
      <w:r w:rsidRPr="006236B4">
        <w:rPr>
          <w:rFonts w:cs="Arial"/>
          <w:szCs w:val="22"/>
        </w:rPr>
        <w:t xml:space="preserve">nařízena izolace ve zdravotnickém zařízení, </w:t>
      </w:r>
      <w:r w:rsidR="001E1E70">
        <w:rPr>
          <w:rFonts w:cs="Arial"/>
          <w:szCs w:val="22"/>
        </w:rPr>
        <w:t xml:space="preserve">jsou </w:t>
      </w:r>
      <w:r w:rsidRPr="006236B4">
        <w:rPr>
          <w:rFonts w:cs="Arial"/>
          <w:szCs w:val="22"/>
        </w:rPr>
        <w:t xml:space="preserve">stanoveny vyhláškou </w:t>
      </w:r>
      <w:r>
        <w:rPr>
          <w:rFonts w:cs="Arial"/>
          <w:szCs w:val="22"/>
        </w:rPr>
        <w:t xml:space="preserve">č. </w:t>
      </w:r>
      <w:r w:rsidR="001E1E70">
        <w:rPr>
          <w:rFonts w:cs="Arial"/>
          <w:szCs w:val="22"/>
        </w:rPr>
        <w:t>306/2012 Sb</w:t>
      </w:r>
      <w:r>
        <w:rPr>
          <w:rFonts w:cs="Arial"/>
          <w:szCs w:val="22"/>
        </w:rPr>
        <w:t>.),</w:t>
      </w:r>
    </w:p>
    <w:p w:rsidR="00F94FCD" w:rsidRPr="006236B4" w:rsidRDefault="00F94FCD" w:rsidP="00F94FCD">
      <w:pPr>
        <w:pStyle w:val="Zkladntext"/>
        <w:numPr>
          <w:ilvl w:val="0"/>
          <w:numId w:val="22"/>
        </w:numPr>
        <w:spacing w:before="120" w:line="300" w:lineRule="exact"/>
        <w:rPr>
          <w:rFonts w:ascii="Arial" w:hAnsi="Arial" w:cs="Arial"/>
          <w:sz w:val="22"/>
          <w:szCs w:val="22"/>
        </w:rPr>
      </w:pPr>
      <w:r w:rsidRPr="006236B4">
        <w:rPr>
          <w:rFonts w:ascii="Arial" w:hAnsi="Arial" w:cs="Arial"/>
          <w:sz w:val="22"/>
          <w:szCs w:val="22"/>
        </w:rPr>
        <w:t>na zajištění opatření se podílejí zdravotnická zařízení (klinická a laboratorní vyšetření, léčba, případná hospitalizace, izolace nemocných infekčním onemocněním)</w:t>
      </w:r>
      <w:r>
        <w:rPr>
          <w:rFonts w:ascii="Arial" w:hAnsi="Arial" w:cs="Arial"/>
          <w:sz w:val="22"/>
          <w:szCs w:val="22"/>
        </w:rPr>
        <w:t>,</w:t>
      </w:r>
    </w:p>
    <w:p w:rsidR="00F94FCD" w:rsidRDefault="00F94FCD" w:rsidP="00F94FCD">
      <w:pPr>
        <w:numPr>
          <w:ilvl w:val="1"/>
          <w:numId w:val="5"/>
        </w:numPr>
        <w:tabs>
          <w:tab w:val="clear" w:pos="1440"/>
          <w:tab w:val="num" w:pos="720"/>
        </w:tabs>
        <w:spacing w:before="120"/>
        <w:ind w:left="714" w:hanging="357"/>
        <w:rPr>
          <w:rFonts w:cs="Arial"/>
          <w:color w:val="auto"/>
          <w:szCs w:val="22"/>
        </w:rPr>
      </w:pPr>
      <w:r>
        <w:rPr>
          <w:rFonts w:cs="Arial"/>
          <w:color w:val="auto"/>
          <w:szCs w:val="22"/>
        </w:rPr>
        <w:t>výskyt mimořádných epidemiologických situací je okamžitě hlášen prostřednictvím KHS StčK na Ministerstvo zdravotnictví ČR (MZ) a SZÚ.</w:t>
      </w:r>
    </w:p>
    <w:p w:rsidR="00F94FCD" w:rsidRPr="006236B4" w:rsidRDefault="00F94FCD" w:rsidP="00F94FCD">
      <w:pPr>
        <w:numPr>
          <w:ilvl w:val="1"/>
          <w:numId w:val="5"/>
        </w:numPr>
        <w:tabs>
          <w:tab w:val="clear" w:pos="1440"/>
          <w:tab w:val="num" w:pos="720"/>
        </w:tabs>
        <w:spacing w:before="120"/>
        <w:ind w:left="714" w:hanging="357"/>
        <w:rPr>
          <w:rFonts w:cs="Arial"/>
          <w:color w:val="auto"/>
          <w:szCs w:val="22"/>
        </w:rPr>
      </w:pPr>
      <w:r>
        <w:rPr>
          <w:rFonts w:cs="Arial"/>
          <w:color w:val="auto"/>
        </w:rPr>
        <w:lastRenderedPageBreak/>
        <w:t xml:space="preserve">Pracovníci KHS StčK </w:t>
      </w:r>
      <w:r w:rsidRPr="006236B4">
        <w:rPr>
          <w:rFonts w:cs="Arial"/>
          <w:color w:val="auto"/>
        </w:rPr>
        <w:t>řídí a kontrolují činnosti na úseku dezinfekce, dezinsekce a deratizace (DDD), podílí se na ověřování odborné způsobilosti osob tyto činnosti provádějící a přijímají příslušná opatření v případech zjištěných nedostatků</w:t>
      </w:r>
      <w:r>
        <w:rPr>
          <w:rFonts w:cs="Arial"/>
          <w:color w:val="auto"/>
        </w:rPr>
        <w:t>.</w:t>
      </w:r>
    </w:p>
    <w:p w:rsidR="00F94FCD" w:rsidRPr="008F0A2F" w:rsidRDefault="00F94FCD" w:rsidP="00F94FCD">
      <w:pPr>
        <w:spacing w:before="120"/>
        <w:ind w:left="714"/>
        <w:rPr>
          <w:rFonts w:cs="Arial"/>
          <w:b/>
          <w:szCs w:val="22"/>
        </w:rPr>
      </w:pPr>
      <w:r w:rsidRPr="006236B4">
        <w:rPr>
          <w:rFonts w:cs="Arial"/>
          <w:b/>
          <w:i/>
          <w:szCs w:val="22"/>
        </w:rPr>
        <w:t>Běžná ochranná DDD činnost</w:t>
      </w:r>
      <w:r>
        <w:rPr>
          <w:rFonts w:cs="Arial"/>
          <w:b/>
          <w:szCs w:val="22"/>
        </w:rPr>
        <w:t xml:space="preserve"> </w:t>
      </w:r>
      <w:r>
        <w:rPr>
          <w:rFonts w:cs="Arial"/>
          <w:szCs w:val="22"/>
        </w:rPr>
        <w:t xml:space="preserve">– </w:t>
      </w:r>
      <w:r w:rsidR="005615CE">
        <w:rPr>
          <w:rFonts w:cs="Arial"/>
          <w:szCs w:val="22"/>
        </w:rPr>
        <w:t>je činnost směřující</w:t>
      </w:r>
      <w:r>
        <w:rPr>
          <w:rFonts w:cs="Arial"/>
          <w:szCs w:val="22"/>
        </w:rPr>
        <w:t xml:space="preserve"> k ochraně zdraví fyzických osob a k ochraně životních a pracovních podmínek před původci a přenašeči infekčních onemocnění,</w:t>
      </w:r>
      <w:r w:rsidR="005615CE">
        <w:rPr>
          <w:rFonts w:cs="Arial"/>
          <w:szCs w:val="22"/>
        </w:rPr>
        <w:t xml:space="preserve"> </w:t>
      </w:r>
      <w:r w:rsidR="001E1E70">
        <w:rPr>
          <w:rFonts w:cs="Arial"/>
          <w:szCs w:val="22"/>
        </w:rPr>
        <w:t>škodlivý</w:t>
      </w:r>
      <w:r w:rsidR="005615CE">
        <w:rPr>
          <w:rFonts w:cs="Arial"/>
          <w:szCs w:val="22"/>
        </w:rPr>
        <w:t xml:space="preserve">mi </w:t>
      </w:r>
      <w:r w:rsidR="001E1E70">
        <w:rPr>
          <w:rFonts w:cs="Arial"/>
          <w:szCs w:val="22"/>
        </w:rPr>
        <w:t xml:space="preserve">a </w:t>
      </w:r>
      <w:r>
        <w:rPr>
          <w:rFonts w:cs="Arial"/>
          <w:szCs w:val="22"/>
        </w:rPr>
        <w:t>epidemiologicky významný</w:t>
      </w:r>
      <w:r w:rsidR="005615CE">
        <w:rPr>
          <w:rFonts w:cs="Arial"/>
          <w:szCs w:val="22"/>
        </w:rPr>
        <w:t>mi</w:t>
      </w:r>
      <w:r>
        <w:rPr>
          <w:rFonts w:cs="Arial"/>
          <w:szCs w:val="22"/>
        </w:rPr>
        <w:t xml:space="preserve"> členovc</w:t>
      </w:r>
      <w:r w:rsidR="005615CE">
        <w:rPr>
          <w:rFonts w:cs="Arial"/>
          <w:szCs w:val="22"/>
        </w:rPr>
        <w:t>i</w:t>
      </w:r>
      <w:r>
        <w:rPr>
          <w:rFonts w:cs="Arial"/>
          <w:szCs w:val="22"/>
        </w:rPr>
        <w:t xml:space="preserve"> (hmyz), hlodavc</w:t>
      </w:r>
      <w:r w:rsidR="005615CE">
        <w:rPr>
          <w:rFonts w:cs="Arial"/>
          <w:szCs w:val="22"/>
        </w:rPr>
        <w:t>i</w:t>
      </w:r>
      <w:r>
        <w:rPr>
          <w:rFonts w:cs="Arial"/>
          <w:szCs w:val="22"/>
        </w:rPr>
        <w:t xml:space="preserve"> a další</w:t>
      </w:r>
      <w:r w:rsidR="005615CE">
        <w:rPr>
          <w:rFonts w:cs="Arial"/>
          <w:szCs w:val="22"/>
        </w:rPr>
        <w:t>mi</w:t>
      </w:r>
      <w:r>
        <w:rPr>
          <w:rFonts w:cs="Arial"/>
          <w:szCs w:val="22"/>
        </w:rPr>
        <w:t xml:space="preserve"> živočich</w:t>
      </w:r>
      <w:r w:rsidR="005615CE">
        <w:rPr>
          <w:rFonts w:cs="Arial"/>
          <w:szCs w:val="22"/>
        </w:rPr>
        <w:t>y</w:t>
      </w:r>
      <w:r>
        <w:rPr>
          <w:rFonts w:cs="Arial"/>
          <w:szCs w:val="22"/>
        </w:rPr>
        <w:t xml:space="preserve"> (kočky, holubi, …). </w:t>
      </w:r>
      <w:r w:rsidR="005615CE">
        <w:rPr>
          <w:rFonts w:cs="Arial"/>
          <w:szCs w:val="22"/>
        </w:rPr>
        <w:t>Tato činnost</w:t>
      </w:r>
      <w:r>
        <w:rPr>
          <w:rFonts w:cs="Arial"/>
          <w:szCs w:val="22"/>
        </w:rPr>
        <w:t xml:space="preserve"> spočív</w:t>
      </w:r>
      <w:r w:rsidR="005615CE">
        <w:rPr>
          <w:rFonts w:cs="Arial"/>
          <w:szCs w:val="22"/>
        </w:rPr>
        <w:t>á</w:t>
      </w:r>
      <w:r>
        <w:rPr>
          <w:rFonts w:cs="Arial"/>
          <w:szCs w:val="22"/>
        </w:rPr>
        <w:t xml:space="preserve"> v dodržování čistoty</w:t>
      </w:r>
      <w:r w:rsidR="005615CE">
        <w:rPr>
          <w:rFonts w:cs="Arial"/>
          <w:szCs w:val="22"/>
        </w:rPr>
        <w:t xml:space="preserve"> a</w:t>
      </w:r>
      <w:r>
        <w:rPr>
          <w:rFonts w:cs="Arial"/>
          <w:szCs w:val="22"/>
        </w:rPr>
        <w:t xml:space="preserve"> pořádku v  obydlí a provozov</w:t>
      </w:r>
      <w:r w:rsidR="005615CE">
        <w:rPr>
          <w:rFonts w:cs="Arial"/>
          <w:szCs w:val="22"/>
        </w:rPr>
        <w:t>ách a jejich okolí</w:t>
      </w:r>
      <w:r>
        <w:rPr>
          <w:rFonts w:cs="Arial"/>
          <w:szCs w:val="22"/>
        </w:rPr>
        <w:t xml:space="preserve">, v dodržování technologických postupů, v pravidelném odklízení odpadků, zabezpečení objektů před vnikáním členovců, hlodavců, holubů, apod. (sítě, mříže, …).  </w:t>
      </w:r>
      <w:r w:rsidRPr="008F0A2F">
        <w:rPr>
          <w:rFonts w:cs="Arial"/>
          <w:b/>
          <w:szCs w:val="22"/>
        </w:rPr>
        <w:t>Běžnou ochrannou DDD činnost je povinna provádět podle potřeby každá osoba.</w:t>
      </w:r>
    </w:p>
    <w:p w:rsidR="00F94FCD" w:rsidRDefault="00F94FCD" w:rsidP="00F94FCD">
      <w:pPr>
        <w:spacing w:before="120"/>
        <w:ind w:left="714"/>
        <w:rPr>
          <w:rFonts w:cs="Arial"/>
          <w:color w:val="auto"/>
          <w:szCs w:val="22"/>
        </w:rPr>
      </w:pPr>
      <w:r w:rsidRPr="006236B4">
        <w:rPr>
          <w:rFonts w:cs="Arial"/>
          <w:b/>
          <w:i/>
          <w:color w:val="auto"/>
          <w:szCs w:val="22"/>
        </w:rPr>
        <w:t>Speciální ochranná DDD činnost</w:t>
      </w:r>
      <w:r>
        <w:rPr>
          <w:rFonts w:cs="Arial"/>
          <w:bCs/>
          <w:color w:val="auto"/>
          <w:szCs w:val="22"/>
        </w:rPr>
        <w:t xml:space="preserve"> – odborná činnost cílená na likvidaci původců a přenašečů infekčních onemocnění a zvýšeného výskytu škodlivých a epidemiologicky významných členovců, hlodavců a dalších živočichů, tj. odborná činnost zaměřená na likvidaci mikroorganismů (bakterie, viry, mikroskopické vláknité houby – plísně), </w:t>
      </w:r>
      <w:r>
        <w:rPr>
          <w:rFonts w:cs="Arial"/>
          <w:color w:val="auto"/>
          <w:szCs w:val="22"/>
        </w:rPr>
        <w:t>epidemiologicky významných a obtížných členovců (např. komáří kalamity po povodních), hlodavců (především potkani) a dalších živočichů (kočky, holubi, …) v případě jejich přemnožení.</w:t>
      </w:r>
    </w:p>
    <w:p w:rsidR="00F94FCD" w:rsidRDefault="00F94FCD" w:rsidP="00F94FCD">
      <w:pPr>
        <w:numPr>
          <w:ilvl w:val="2"/>
          <w:numId w:val="8"/>
        </w:numPr>
        <w:tabs>
          <w:tab w:val="clear" w:pos="2320"/>
          <w:tab w:val="num" w:pos="1260"/>
        </w:tabs>
        <w:spacing w:before="60"/>
        <w:ind w:left="1259" w:hanging="357"/>
        <w:rPr>
          <w:rFonts w:cs="Arial"/>
          <w:color w:val="auto"/>
          <w:szCs w:val="22"/>
        </w:rPr>
      </w:pPr>
      <w:r>
        <w:rPr>
          <w:rFonts w:cs="Arial"/>
          <w:color w:val="auto"/>
          <w:szCs w:val="22"/>
        </w:rPr>
        <w:t>speciální ochrannou DDD činnost může provádět pouze oprávněná osoba (vlastnící osvědčení o odborné způsobilosti k výkonu této činnosti),</w:t>
      </w:r>
    </w:p>
    <w:p w:rsidR="00F94FCD" w:rsidRDefault="00F94FCD" w:rsidP="00F94FCD">
      <w:pPr>
        <w:numPr>
          <w:ilvl w:val="2"/>
          <w:numId w:val="8"/>
        </w:numPr>
        <w:tabs>
          <w:tab w:val="clear" w:pos="2320"/>
          <w:tab w:val="num" w:pos="1260"/>
        </w:tabs>
        <w:spacing w:before="60"/>
        <w:ind w:left="1259" w:hanging="357"/>
        <w:rPr>
          <w:rFonts w:cs="Arial"/>
          <w:color w:val="auto"/>
          <w:szCs w:val="22"/>
        </w:rPr>
      </w:pPr>
      <w:r>
        <w:rPr>
          <w:rFonts w:cs="Arial"/>
          <w:color w:val="auto"/>
          <w:szCs w:val="22"/>
        </w:rPr>
        <w:t>lze používat pouze přípravky s povolením k uvedení na trh,</w:t>
      </w:r>
    </w:p>
    <w:p w:rsidR="00F94FCD" w:rsidRDefault="00F94FCD" w:rsidP="00F94FCD">
      <w:pPr>
        <w:numPr>
          <w:ilvl w:val="2"/>
          <w:numId w:val="8"/>
        </w:numPr>
        <w:tabs>
          <w:tab w:val="clear" w:pos="2320"/>
          <w:tab w:val="num" w:pos="1260"/>
        </w:tabs>
        <w:spacing w:before="60"/>
        <w:ind w:left="1259" w:hanging="357"/>
        <w:rPr>
          <w:rFonts w:cs="Arial"/>
          <w:color w:val="auto"/>
          <w:szCs w:val="22"/>
        </w:rPr>
      </w:pPr>
      <w:r>
        <w:rPr>
          <w:rFonts w:cs="Arial"/>
          <w:color w:val="auto"/>
          <w:szCs w:val="22"/>
        </w:rPr>
        <w:t>nutno dodržovat návod k jejich použití stanovený výrobcem včetně koncentrac</w:t>
      </w:r>
      <w:r w:rsidR="005615CE">
        <w:rPr>
          <w:rFonts w:cs="Arial"/>
          <w:color w:val="auto"/>
          <w:szCs w:val="22"/>
        </w:rPr>
        <w:t>e</w:t>
      </w:r>
      <w:r>
        <w:rPr>
          <w:rFonts w:cs="Arial"/>
          <w:color w:val="auto"/>
          <w:szCs w:val="22"/>
        </w:rPr>
        <w:t xml:space="preserve"> a expozic</w:t>
      </w:r>
      <w:r w:rsidR="005615CE">
        <w:rPr>
          <w:rFonts w:cs="Arial"/>
          <w:color w:val="auto"/>
          <w:szCs w:val="22"/>
        </w:rPr>
        <w:t>e</w:t>
      </w:r>
      <w:r>
        <w:rPr>
          <w:rFonts w:cs="Arial"/>
          <w:color w:val="auto"/>
          <w:szCs w:val="22"/>
        </w:rPr>
        <w:t>,</w:t>
      </w:r>
    </w:p>
    <w:p w:rsidR="00F94FCD" w:rsidRDefault="00F94FCD" w:rsidP="00F94FCD">
      <w:pPr>
        <w:numPr>
          <w:ilvl w:val="2"/>
          <w:numId w:val="8"/>
        </w:numPr>
        <w:tabs>
          <w:tab w:val="clear" w:pos="2320"/>
          <w:tab w:val="num" w:pos="1260"/>
        </w:tabs>
        <w:spacing w:before="60"/>
        <w:ind w:left="1259" w:hanging="357"/>
        <w:rPr>
          <w:rFonts w:cs="Arial"/>
          <w:color w:val="auto"/>
          <w:szCs w:val="22"/>
        </w:rPr>
      </w:pPr>
      <w:r>
        <w:rPr>
          <w:rFonts w:cs="Arial"/>
          <w:color w:val="auto"/>
          <w:szCs w:val="22"/>
        </w:rPr>
        <w:t>osoba, která provádí DDD činnost,  je povinna kontrolovat účinnost</w:t>
      </w:r>
      <w:r w:rsidR="005615CE">
        <w:rPr>
          <w:rFonts w:cs="Arial"/>
          <w:color w:val="auto"/>
          <w:szCs w:val="22"/>
        </w:rPr>
        <w:t xml:space="preserve"> prováděného zásahu</w:t>
      </w:r>
      <w:r>
        <w:rPr>
          <w:rFonts w:cs="Arial"/>
          <w:color w:val="auto"/>
          <w:szCs w:val="22"/>
        </w:rPr>
        <w:t>,</w:t>
      </w:r>
    </w:p>
    <w:p w:rsidR="00F94FCD" w:rsidRDefault="00F94FCD" w:rsidP="00F94FCD">
      <w:pPr>
        <w:numPr>
          <w:ilvl w:val="2"/>
          <w:numId w:val="8"/>
        </w:numPr>
        <w:tabs>
          <w:tab w:val="clear" w:pos="2320"/>
          <w:tab w:val="num" w:pos="1260"/>
        </w:tabs>
        <w:spacing w:before="60"/>
        <w:ind w:left="1259" w:hanging="357"/>
        <w:rPr>
          <w:rFonts w:cs="Arial"/>
          <w:color w:val="auto"/>
          <w:szCs w:val="22"/>
        </w:rPr>
      </w:pPr>
      <w:r>
        <w:rPr>
          <w:rFonts w:cs="Arial"/>
          <w:color w:val="auto"/>
          <w:szCs w:val="22"/>
        </w:rPr>
        <w:t>oprávněná osoba je povinna písemně informovat místně příslušný obecní úřad a místně příslušný OOVZ o záměru  provést jakoukoliv DDD akci za použití nebezpečných chemických látek nebo za použití chemických přípravků klasifikovaných jako toxické nebo vysoce toxické látky (nejpozději 48 hodin před zahájením DDD akce). Dále je povinna informovat dotčené osoby o záměru provést velkoplošnou speciální ochrannou dezinsekci nebo deratizaci (na území obce nebo městské části),</w:t>
      </w:r>
    </w:p>
    <w:p w:rsidR="00F94FCD" w:rsidRDefault="00F94FCD" w:rsidP="00F94FCD">
      <w:pPr>
        <w:numPr>
          <w:ilvl w:val="2"/>
          <w:numId w:val="8"/>
        </w:numPr>
        <w:tabs>
          <w:tab w:val="clear" w:pos="2320"/>
          <w:tab w:val="num" w:pos="1260"/>
        </w:tabs>
        <w:spacing w:before="60"/>
        <w:ind w:left="1259" w:hanging="357"/>
        <w:rPr>
          <w:rFonts w:cs="Arial"/>
          <w:color w:val="auto"/>
          <w:szCs w:val="22"/>
        </w:rPr>
      </w:pPr>
      <w:r>
        <w:rPr>
          <w:rFonts w:cs="Arial"/>
          <w:color w:val="auto"/>
          <w:szCs w:val="22"/>
        </w:rPr>
        <w:t>místně příslušný OOVZ je oprávněn z vlastního nebo jiného podnětu rozhodnutím nařídit provedení speciální DDD, zajištění akce se nařizuje vlastníku nemovitost</w:t>
      </w:r>
      <w:r w:rsidR="000B0961">
        <w:rPr>
          <w:rFonts w:cs="Arial"/>
          <w:color w:val="auto"/>
          <w:szCs w:val="22"/>
        </w:rPr>
        <w:t>i</w:t>
      </w:r>
      <w:r>
        <w:rPr>
          <w:rFonts w:cs="Arial"/>
          <w:color w:val="auto"/>
          <w:szCs w:val="22"/>
        </w:rPr>
        <w:t xml:space="preserve"> nebo společenství vlastníků. U nemovitostí v majetku státu se zajištění akce nařizuje organizační složce státu nebo příspěvkové organizaci, které přísluší hospodaření s ní,</w:t>
      </w:r>
    </w:p>
    <w:p w:rsidR="00F94FCD" w:rsidRDefault="00F94FCD" w:rsidP="00F94FCD">
      <w:pPr>
        <w:numPr>
          <w:ilvl w:val="2"/>
          <w:numId w:val="8"/>
        </w:numPr>
        <w:tabs>
          <w:tab w:val="clear" w:pos="2320"/>
          <w:tab w:val="num" w:pos="1260"/>
        </w:tabs>
        <w:spacing w:before="60"/>
        <w:ind w:left="1259" w:hanging="357"/>
        <w:rPr>
          <w:rFonts w:cs="Arial"/>
          <w:color w:val="auto"/>
          <w:szCs w:val="22"/>
        </w:rPr>
      </w:pPr>
      <w:r>
        <w:rPr>
          <w:rFonts w:cs="Arial"/>
          <w:color w:val="auto"/>
          <w:szCs w:val="22"/>
        </w:rPr>
        <w:t>v případě nebezpečí z prodlení OOVZ vyhlásí provedení DDD ústně a následně neprodleně vydá písemné rozhodnutí.</w:t>
      </w:r>
    </w:p>
    <w:p w:rsidR="00F94FCD" w:rsidRDefault="00F94FCD" w:rsidP="00F94FCD">
      <w:pPr>
        <w:spacing w:before="60"/>
        <w:ind w:left="902"/>
        <w:jc w:val="left"/>
        <w:rPr>
          <w:rFonts w:cs="Arial"/>
          <w:color w:val="auto"/>
          <w:szCs w:val="22"/>
        </w:rPr>
      </w:pPr>
    </w:p>
    <w:p w:rsidR="00F94FCD" w:rsidRDefault="00F94FCD" w:rsidP="00F94FCD">
      <w:pPr>
        <w:numPr>
          <w:ilvl w:val="0"/>
          <w:numId w:val="5"/>
        </w:numPr>
        <w:tabs>
          <w:tab w:val="clear" w:pos="720"/>
        </w:tabs>
        <w:spacing w:before="60"/>
        <w:ind w:left="360"/>
        <w:jc w:val="left"/>
        <w:rPr>
          <w:rFonts w:cs="Arial"/>
          <w:color w:val="auto"/>
          <w:szCs w:val="22"/>
          <w:u w:val="single"/>
        </w:rPr>
      </w:pPr>
      <w:r>
        <w:rPr>
          <w:rFonts w:cs="Arial"/>
          <w:color w:val="auto"/>
          <w:szCs w:val="22"/>
          <w:u w:val="single"/>
        </w:rPr>
        <w:t xml:space="preserve">Mimořádná opatření při nebezpečí vzniku epidemií </w:t>
      </w:r>
    </w:p>
    <w:p w:rsidR="00F94FCD" w:rsidRDefault="00F94FCD" w:rsidP="00F94FCD">
      <w:pPr>
        <w:numPr>
          <w:ilvl w:val="3"/>
          <w:numId w:val="8"/>
        </w:numPr>
        <w:tabs>
          <w:tab w:val="clear" w:pos="2880"/>
        </w:tabs>
        <w:spacing w:before="60"/>
        <w:ind w:left="720"/>
        <w:jc w:val="left"/>
        <w:rPr>
          <w:rFonts w:cs="Arial"/>
          <w:color w:val="auto"/>
          <w:szCs w:val="22"/>
        </w:rPr>
      </w:pPr>
      <w:r>
        <w:rPr>
          <w:rFonts w:cs="Arial"/>
          <w:color w:val="auto"/>
          <w:szCs w:val="22"/>
        </w:rPr>
        <w:t>příkaz k vyčlenění lůžek  ve zdravotnickém zařízení – tzv. izolační lůžka,</w:t>
      </w:r>
    </w:p>
    <w:p w:rsidR="00F94FCD" w:rsidRDefault="00F94FCD" w:rsidP="00F94FCD">
      <w:pPr>
        <w:numPr>
          <w:ilvl w:val="3"/>
          <w:numId w:val="8"/>
        </w:numPr>
        <w:tabs>
          <w:tab w:val="clear" w:pos="2880"/>
        </w:tabs>
        <w:spacing w:before="60"/>
        <w:ind w:left="720"/>
        <w:jc w:val="left"/>
        <w:rPr>
          <w:rFonts w:cs="Arial"/>
          <w:color w:val="auto"/>
          <w:szCs w:val="22"/>
        </w:rPr>
      </w:pPr>
      <w:r>
        <w:rPr>
          <w:rFonts w:cs="Arial"/>
          <w:color w:val="auto"/>
          <w:szCs w:val="22"/>
        </w:rPr>
        <w:t>mimořádná očkování a  preventivní podání jiných léčiv (profylaxe),</w:t>
      </w:r>
    </w:p>
    <w:p w:rsidR="00F94FCD" w:rsidRDefault="00F94FCD" w:rsidP="00F94FCD">
      <w:pPr>
        <w:numPr>
          <w:ilvl w:val="3"/>
          <w:numId w:val="8"/>
        </w:numPr>
        <w:tabs>
          <w:tab w:val="clear" w:pos="2880"/>
        </w:tabs>
        <w:spacing w:before="120"/>
        <w:ind w:left="720"/>
        <w:rPr>
          <w:rFonts w:cs="Arial"/>
          <w:szCs w:val="22"/>
        </w:rPr>
      </w:pPr>
      <w:r w:rsidRPr="006236B4">
        <w:rPr>
          <w:rFonts w:cs="Arial"/>
          <w:szCs w:val="22"/>
        </w:rPr>
        <w:t xml:space="preserve">nařídit/doporučit uzavření </w:t>
      </w:r>
      <w:r w:rsidR="000B0961">
        <w:rPr>
          <w:rFonts w:cs="Arial"/>
          <w:szCs w:val="22"/>
        </w:rPr>
        <w:t xml:space="preserve">či omezení provozu </w:t>
      </w:r>
      <w:r w:rsidRPr="006236B4">
        <w:rPr>
          <w:rFonts w:cs="Arial"/>
          <w:szCs w:val="22"/>
        </w:rPr>
        <w:t>školních a předškolních zařízení,  zdravotnických zařízeních, omezení společenských, sportovních a kulturních akcí, při kterých se shromažďuje velké množství osob, omeze</w:t>
      </w:r>
      <w:r>
        <w:rPr>
          <w:rFonts w:cs="Arial"/>
          <w:szCs w:val="22"/>
        </w:rPr>
        <w:t>ní cestování, zotavovacích akcí</w:t>
      </w:r>
      <w:r w:rsidR="00543222">
        <w:rPr>
          <w:rFonts w:cs="Arial"/>
          <w:szCs w:val="22"/>
        </w:rPr>
        <w:t xml:space="preserve"> a další</w:t>
      </w:r>
    </w:p>
    <w:p w:rsidR="00F94FCD" w:rsidRPr="00C92B66" w:rsidRDefault="00F94FCD" w:rsidP="00F94FCD">
      <w:pPr>
        <w:numPr>
          <w:ilvl w:val="3"/>
          <w:numId w:val="8"/>
        </w:numPr>
        <w:tabs>
          <w:tab w:val="clear" w:pos="2880"/>
        </w:tabs>
        <w:spacing w:before="120"/>
        <w:ind w:left="720"/>
        <w:rPr>
          <w:rFonts w:cs="Arial"/>
          <w:szCs w:val="22"/>
        </w:rPr>
      </w:pPr>
      <w:r w:rsidRPr="00C92B66">
        <w:rPr>
          <w:rFonts w:cs="Arial"/>
          <w:szCs w:val="22"/>
        </w:rPr>
        <w:t>nařídit provedení ohniskové DDD na zasaženém území.</w:t>
      </w:r>
    </w:p>
    <w:p w:rsidR="00F94FCD" w:rsidRPr="006236B4" w:rsidRDefault="00F94FCD" w:rsidP="00F94FCD">
      <w:pPr>
        <w:spacing w:before="120"/>
        <w:rPr>
          <w:rFonts w:cs="Arial"/>
          <w:szCs w:val="22"/>
        </w:rPr>
      </w:pPr>
    </w:p>
    <w:p w:rsidR="00F94FCD" w:rsidRDefault="00F94FCD" w:rsidP="00F94FCD">
      <w:pPr>
        <w:spacing w:before="60"/>
        <w:jc w:val="left"/>
        <w:rPr>
          <w:rFonts w:cs="Arial"/>
          <w:color w:val="auto"/>
          <w:szCs w:val="22"/>
        </w:rPr>
      </w:pPr>
    </w:p>
    <w:p w:rsidR="00F94FCD" w:rsidRDefault="00F94FCD" w:rsidP="00F94FCD">
      <w:pPr>
        <w:spacing w:before="60"/>
        <w:rPr>
          <w:rFonts w:cs="Arial"/>
          <w:color w:val="auto"/>
          <w:szCs w:val="22"/>
        </w:rPr>
      </w:pPr>
      <w:r>
        <w:rPr>
          <w:rFonts w:cs="Arial"/>
          <w:color w:val="auto"/>
          <w:szCs w:val="22"/>
        </w:rPr>
        <w:lastRenderedPageBreak/>
        <w:t>KHS Středočeského kraje na základě dohody Krajské epidemiologické komise Středočeského kraje a jejích zástupců informuje pravidelně o epidemiologické situaci v kraji odbor zdravotnictví KÚ SČK, který následně informuje zdravotnická zařízení v kraji.</w:t>
      </w:r>
    </w:p>
    <w:p w:rsidR="00F94FCD" w:rsidRDefault="00F94FCD" w:rsidP="00F94FCD">
      <w:pPr>
        <w:rPr>
          <w:rFonts w:cs="Arial"/>
          <w:color w:val="auto"/>
          <w:szCs w:val="22"/>
        </w:rPr>
      </w:pPr>
      <w:r>
        <w:rPr>
          <w:rFonts w:cs="Arial"/>
          <w:color w:val="auto"/>
          <w:szCs w:val="22"/>
        </w:rPr>
        <w:t>Obdobný postup je zvolen při importu nebezpečných nákaz do České republiky – cestou KHS StčK je opět informován odbor zdravotnictví, který následně informuje lůžková zdravotnická zařízení v kraji.</w:t>
      </w:r>
    </w:p>
    <w:p w:rsidR="00F94FCD" w:rsidRDefault="00F94FCD" w:rsidP="00F94FCD">
      <w:pPr>
        <w:spacing w:before="60"/>
        <w:ind w:left="902"/>
        <w:jc w:val="left"/>
        <w:rPr>
          <w:rFonts w:cs="Arial"/>
          <w:szCs w:val="22"/>
        </w:rPr>
      </w:pPr>
    </w:p>
    <w:p w:rsidR="00F94FCD" w:rsidRDefault="00F94FCD" w:rsidP="00F94FCD">
      <w:pPr>
        <w:spacing w:before="60"/>
        <w:ind w:left="902"/>
        <w:jc w:val="left"/>
        <w:rPr>
          <w:rFonts w:cs="Arial"/>
          <w:szCs w:val="22"/>
        </w:rPr>
      </w:pPr>
    </w:p>
    <w:p w:rsidR="00F94FCD" w:rsidRDefault="00F94FCD" w:rsidP="00F94FCD">
      <w:pPr>
        <w:jc w:val="left"/>
        <w:rPr>
          <w:rFonts w:cs="Arial"/>
          <w:szCs w:val="22"/>
        </w:rPr>
      </w:pPr>
      <w:r>
        <w:rPr>
          <w:rFonts w:cs="Arial"/>
          <w:szCs w:val="22"/>
        </w:rPr>
        <w:t>+ informace Likvidace popovodňových komárů</w:t>
      </w:r>
    </w:p>
    <w:p w:rsidR="00F94FCD" w:rsidRPr="000242CB" w:rsidRDefault="00F94FCD" w:rsidP="00F94FCD">
      <w:pPr>
        <w:jc w:val="center"/>
        <w:rPr>
          <w:rFonts w:cs="Arial"/>
          <w:b/>
          <w:sz w:val="24"/>
        </w:rPr>
      </w:pPr>
      <w:r>
        <w:rPr>
          <w:rFonts w:cs="Arial"/>
          <w:szCs w:val="22"/>
        </w:rPr>
        <w:br w:type="page"/>
      </w:r>
      <w:r w:rsidRPr="000242CB">
        <w:rPr>
          <w:rFonts w:cs="Arial"/>
          <w:b/>
          <w:sz w:val="24"/>
        </w:rPr>
        <w:lastRenderedPageBreak/>
        <w:t>Oblast pitná voda a voda ke koupání</w:t>
      </w:r>
      <w:r>
        <w:rPr>
          <w:rFonts w:cs="Arial"/>
          <w:b/>
          <w:sz w:val="24"/>
        </w:rPr>
        <w:t>, odpady</w:t>
      </w:r>
    </w:p>
    <w:p w:rsidR="00F94FCD" w:rsidRDefault="00F94FCD" w:rsidP="00F94FCD">
      <w:pPr>
        <w:jc w:val="center"/>
        <w:rPr>
          <w:rFonts w:cs="Arial"/>
          <w:b/>
          <w:sz w:val="24"/>
        </w:rPr>
      </w:pPr>
      <w:r>
        <w:rPr>
          <w:rFonts w:cs="Arial"/>
          <w:b/>
          <w:sz w:val="24"/>
        </w:rPr>
        <w:t>(</w:t>
      </w:r>
      <w:r w:rsidRPr="000242CB">
        <w:rPr>
          <w:rFonts w:cs="Arial"/>
          <w:b/>
          <w:sz w:val="24"/>
        </w:rPr>
        <w:t>Odbor hygieny obecné a komunální</w:t>
      </w:r>
      <w:r>
        <w:rPr>
          <w:rFonts w:cs="Arial"/>
          <w:b/>
          <w:sz w:val="24"/>
        </w:rPr>
        <w:t>)</w:t>
      </w:r>
    </w:p>
    <w:p w:rsidR="00F94FCD" w:rsidRDefault="00F94FCD" w:rsidP="00F94FCD">
      <w:pPr>
        <w:rPr>
          <w:rFonts w:cs="Arial"/>
          <w:szCs w:val="22"/>
        </w:rPr>
      </w:pPr>
    </w:p>
    <w:p w:rsidR="00F94FCD" w:rsidRDefault="00F94FCD" w:rsidP="00F94FCD">
      <w:pPr>
        <w:numPr>
          <w:ilvl w:val="0"/>
          <w:numId w:val="13"/>
        </w:numPr>
        <w:tabs>
          <w:tab w:val="clear" w:pos="720"/>
        </w:tabs>
        <w:ind w:left="360"/>
        <w:rPr>
          <w:rFonts w:cs="Arial"/>
          <w:szCs w:val="22"/>
          <w:u w:val="single"/>
        </w:rPr>
      </w:pPr>
      <w:r>
        <w:rPr>
          <w:rFonts w:cs="Arial"/>
          <w:szCs w:val="22"/>
          <w:u w:val="single"/>
        </w:rPr>
        <w:t>Konzumace pitné vody z povrchových zdrojů a studní</w:t>
      </w:r>
    </w:p>
    <w:p w:rsidR="00F94FCD" w:rsidRDefault="00F94FCD" w:rsidP="00F94FCD">
      <w:pPr>
        <w:numPr>
          <w:ilvl w:val="0"/>
          <w:numId w:val="6"/>
        </w:numPr>
        <w:spacing w:before="120"/>
        <w:rPr>
          <w:rFonts w:cs="Arial"/>
          <w:szCs w:val="22"/>
        </w:rPr>
      </w:pPr>
      <w:r>
        <w:rPr>
          <w:rFonts w:cs="Arial"/>
          <w:szCs w:val="22"/>
        </w:rPr>
        <w:t xml:space="preserve">V případech, kdy </w:t>
      </w:r>
      <w:r>
        <w:rPr>
          <w:rFonts w:cs="Arial"/>
          <w:b/>
          <w:szCs w:val="22"/>
        </w:rPr>
        <w:t>vodní zdroj nebo rozvod pitné vody byl kontaminován</w:t>
      </w:r>
      <w:r>
        <w:rPr>
          <w:rFonts w:cs="Arial"/>
          <w:szCs w:val="22"/>
        </w:rPr>
        <w:t>, platí zákaz užívání vody pro lidskou spotřebu a potřebu (k přímému pití, přípravě stravy a nápojů, osobní hygieně, čištění a sanitaci stravovacích prostor, zalévání a oplachu plodin a rostlin určených k lidské spotřebě). Tento zákaz je vydán nařízením příslušné krajské hygienické stanice (§ 85 odst. 1 zákona č. 258/2000 Sb.) a platí do doby, než bude ověřena zdravotní nezávadnost vody (vyhláška č. 252/2004 Sb., kterou se stanoví hygienické požadavky na pitnou a teplou vodu a četnost a rozsah kontroly pitné vody, nebo na základě provedení hodnocení zdravotních rizik), a to po provedení asanačních opatření vodních zdrojů a rozvodů vody. Radiologické ukazatele jakosti vody stanoví vyhláška č. 307/2002 Sb., o radiační ochraně. Vyhodnocení jakosti vody z pohledu radiologického spadá do kompetence Státního ústavu pro jadernou bezpečnost.</w:t>
      </w:r>
    </w:p>
    <w:p w:rsidR="00F94FCD" w:rsidRDefault="00F94FCD" w:rsidP="00F94FCD">
      <w:pPr>
        <w:numPr>
          <w:ilvl w:val="0"/>
          <w:numId w:val="3"/>
        </w:numPr>
        <w:spacing w:before="120"/>
        <w:rPr>
          <w:rFonts w:cs="Arial"/>
          <w:szCs w:val="22"/>
        </w:rPr>
      </w:pPr>
      <w:r>
        <w:rPr>
          <w:rFonts w:cs="Arial"/>
          <w:szCs w:val="22"/>
        </w:rPr>
        <w:t xml:space="preserve">V případech, kdy </w:t>
      </w:r>
      <w:r>
        <w:rPr>
          <w:rFonts w:cs="Arial"/>
          <w:b/>
          <w:szCs w:val="22"/>
        </w:rPr>
        <w:t>provozovatel vodovodu vyřadil vodovod z provozu</w:t>
      </w:r>
      <w:r>
        <w:rPr>
          <w:rFonts w:cs="Arial"/>
          <w:szCs w:val="22"/>
        </w:rPr>
        <w:t xml:space="preserve"> sám a po ověření jakosti vody opět zprovoznil, vydají orgány ochrany veřejného zdraví (OOVZ) provozovateli vodovodu nařízení (§ 85 odst. 1 zákona č. 258/2000 Sb.), ve kterém nařídí zvýšenou četnost sledování jakosti vody a případně upravený rozsah stanovení a další potřebná opatření. Současně OOVZ zajistí státní zdravotní dozor nad těmito vodovody jako zcela prioritní úkol s přijetím všech odpovídajících opatření. </w:t>
      </w:r>
    </w:p>
    <w:p w:rsidR="00F94FCD" w:rsidRDefault="00F94FCD" w:rsidP="00F94FCD">
      <w:pPr>
        <w:numPr>
          <w:ilvl w:val="0"/>
          <w:numId w:val="3"/>
        </w:numPr>
        <w:spacing w:before="120"/>
        <w:rPr>
          <w:rFonts w:cs="Arial"/>
          <w:szCs w:val="22"/>
        </w:rPr>
      </w:pPr>
      <w:r>
        <w:rPr>
          <w:rFonts w:cs="Arial"/>
          <w:szCs w:val="22"/>
        </w:rPr>
        <w:t xml:space="preserve">V případě, že </w:t>
      </w:r>
      <w:r>
        <w:rPr>
          <w:rFonts w:cs="Arial"/>
          <w:b/>
          <w:szCs w:val="22"/>
        </w:rPr>
        <w:t>provozovatel kontaminovaný vodovod vyřadil z provozu a znovu ještě do provozu neuvedl</w:t>
      </w:r>
      <w:r>
        <w:rPr>
          <w:rFonts w:cs="Arial"/>
          <w:szCs w:val="22"/>
        </w:rPr>
        <w:t xml:space="preserve">, vydají OOVZ nařízení provozovateli (§ 85 odst. 1. zákona č. 258/2000 Sb.), ve kterém nařídí, že vodovod může být zprovozněn až po vydání souhlasu OOVZ. Současně se uloží opatření dle předchozího odst. </w:t>
      </w:r>
    </w:p>
    <w:p w:rsidR="00F94FCD" w:rsidRDefault="00F94FCD" w:rsidP="00F94FCD">
      <w:pPr>
        <w:numPr>
          <w:ilvl w:val="0"/>
          <w:numId w:val="3"/>
        </w:numPr>
        <w:spacing w:before="120"/>
        <w:rPr>
          <w:rFonts w:cs="Arial"/>
          <w:color w:val="auto"/>
          <w:szCs w:val="22"/>
        </w:rPr>
      </w:pPr>
      <w:r>
        <w:rPr>
          <w:rFonts w:cs="Arial"/>
          <w:szCs w:val="22"/>
        </w:rPr>
        <w:t xml:space="preserve">Při státním zdravotním dozoru se vychází z </w:t>
      </w:r>
      <w:r>
        <w:rPr>
          <w:rFonts w:cs="Arial"/>
          <w:bCs/>
          <w:szCs w:val="22"/>
        </w:rPr>
        <w:t>§ 84 zákona č. 258/2000 Sb</w:t>
      </w:r>
      <w:r>
        <w:rPr>
          <w:rFonts w:cs="Arial"/>
          <w:szCs w:val="22"/>
        </w:rPr>
        <w:t xml:space="preserve">. a </w:t>
      </w:r>
      <w:r>
        <w:rPr>
          <w:rFonts w:cs="Arial"/>
          <w:bCs/>
          <w:szCs w:val="22"/>
        </w:rPr>
        <w:t>metodického návodu hlavního hygienika ČR k výkonu státního zdravotního dozoru v oblasti zdravotní nezávadnosti pitné vody</w:t>
      </w:r>
      <w:r>
        <w:rPr>
          <w:rFonts w:cs="Arial"/>
          <w:szCs w:val="22"/>
        </w:rPr>
        <w:t xml:space="preserve"> ze dne 4.1.2002. Státní zdravotní ústav vydal v roce 2007 metodické doporučení pro nouzové zásobování pitnou vodou.</w:t>
      </w:r>
    </w:p>
    <w:p w:rsidR="00F94FCD" w:rsidRDefault="00F94FCD" w:rsidP="00F94FCD">
      <w:pPr>
        <w:ind w:firstLine="709"/>
        <w:rPr>
          <w:rFonts w:cs="Arial"/>
          <w:color w:val="auto"/>
          <w:szCs w:val="22"/>
        </w:rPr>
      </w:pPr>
      <w:r>
        <w:rPr>
          <w:rFonts w:cs="Arial"/>
          <w:szCs w:val="22"/>
        </w:rPr>
        <w:t xml:space="preserve">(viz </w:t>
      </w:r>
      <w:hyperlink r:id="rId11" w:tooltip="blocked::http://www.szu.cz/uploads/documents/chzp/voda/pdf/nouzvod.pdf" w:history="1">
        <w:r>
          <w:rPr>
            <w:rStyle w:val="Hypertextovodkaz"/>
            <w:rFonts w:cs="Arial"/>
            <w:color w:val="auto"/>
          </w:rPr>
          <w:t>http://www.szu.cz/uploads/documents/chzp/voda/pdf/nouzvod.pdf</w:t>
        </w:r>
      </w:hyperlink>
      <w:r>
        <w:rPr>
          <w:rFonts w:cs="Arial"/>
          <w:color w:val="auto"/>
        </w:rPr>
        <w:t xml:space="preserve">) </w:t>
      </w:r>
    </w:p>
    <w:p w:rsidR="00F94FCD" w:rsidRDefault="00F94FCD" w:rsidP="00F94FCD">
      <w:pPr>
        <w:numPr>
          <w:ilvl w:val="0"/>
          <w:numId w:val="3"/>
        </w:numPr>
        <w:spacing w:before="120"/>
        <w:rPr>
          <w:rFonts w:cs="Arial"/>
          <w:szCs w:val="22"/>
        </w:rPr>
      </w:pPr>
      <w:r>
        <w:rPr>
          <w:rFonts w:cs="Arial"/>
          <w:szCs w:val="22"/>
        </w:rPr>
        <w:t xml:space="preserve">KHS je povinna jakéhokoliv nařízení ve smyslu § 85 odst. 1 zákona č. 258/2000 Sb. po celou dobu jeho platnosti </w:t>
      </w:r>
      <w:r>
        <w:rPr>
          <w:rFonts w:cs="Arial"/>
          <w:b/>
          <w:szCs w:val="22"/>
        </w:rPr>
        <w:t>vyvěsit na své úřední desce a úřední desce obce</w:t>
      </w:r>
      <w:r>
        <w:rPr>
          <w:rFonts w:cs="Arial"/>
          <w:szCs w:val="22"/>
        </w:rPr>
        <w:t xml:space="preserve"> a informovat Ministerstvo zdravotnictví o jeho vydání.</w:t>
      </w:r>
    </w:p>
    <w:p w:rsidR="00F94FCD" w:rsidRDefault="00F94FCD" w:rsidP="00F94FCD">
      <w:pPr>
        <w:rPr>
          <w:rFonts w:cs="Arial"/>
          <w:szCs w:val="22"/>
        </w:rPr>
      </w:pPr>
    </w:p>
    <w:p w:rsidR="00F94FCD" w:rsidRDefault="00F94FCD" w:rsidP="00F94FCD">
      <w:pPr>
        <w:rPr>
          <w:rFonts w:cs="Arial"/>
          <w:szCs w:val="22"/>
        </w:rPr>
      </w:pPr>
    </w:p>
    <w:p w:rsidR="00F94FCD" w:rsidRDefault="00F94FCD" w:rsidP="00F94FCD">
      <w:pPr>
        <w:numPr>
          <w:ilvl w:val="0"/>
          <w:numId w:val="13"/>
        </w:numPr>
        <w:tabs>
          <w:tab w:val="clear" w:pos="720"/>
        </w:tabs>
        <w:ind w:left="360"/>
        <w:rPr>
          <w:rFonts w:cs="Arial"/>
          <w:szCs w:val="22"/>
          <w:u w:val="single"/>
        </w:rPr>
      </w:pPr>
      <w:r>
        <w:rPr>
          <w:rFonts w:cs="Arial"/>
          <w:szCs w:val="22"/>
          <w:u w:val="single"/>
        </w:rPr>
        <w:t>Koupání a rekreace</w:t>
      </w:r>
    </w:p>
    <w:p w:rsidR="00F94FCD" w:rsidRDefault="00F94FCD" w:rsidP="00F94FCD">
      <w:pPr>
        <w:spacing w:before="120"/>
        <w:rPr>
          <w:rFonts w:cs="Arial"/>
          <w:szCs w:val="22"/>
        </w:rPr>
      </w:pPr>
      <w:r>
        <w:rPr>
          <w:rFonts w:cs="Arial"/>
          <w:szCs w:val="22"/>
        </w:rPr>
        <w:t>Veřejná zařízení určená ke koupání:</w:t>
      </w:r>
    </w:p>
    <w:p w:rsidR="00F94FCD" w:rsidRDefault="00F94FCD" w:rsidP="00F94FCD">
      <w:pPr>
        <w:numPr>
          <w:ilvl w:val="0"/>
          <w:numId w:val="4"/>
        </w:numPr>
        <w:spacing w:before="120"/>
        <w:rPr>
          <w:rFonts w:cs="Arial"/>
          <w:szCs w:val="22"/>
        </w:rPr>
      </w:pPr>
      <w:r>
        <w:rPr>
          <w:rFonts w:cs="Arial"/>
          <w:szCs w:val="22"/>
        </w:rPr>
        <w:t xml:space="preserve">V případě </w:t>
      </w:r>
      <w:r>
        <w:rPr>
          <w:rFonts w:cs="Arial"/>
          <w:b/>
          <w:szCs w:val="22"/>
        </w:rPr>
        <w:t>kontaminace povrchové vody</w:t>
      </w:r>
      <w:r>
        <w:rPr>
          <w:rFonts w:cs="Arial"/>
          <w:szCs w:val="22"/>
        </w:rPr>
        <w:t xml:space="preserve"> využívané ke koupání nebo kontaminace zdroje pro bazén umělého koupaliště (včetně soukromých bazénů) je vydán KHS zákaz koupání ve smyslu § 85 odst. 1. zákona č. 258/2000 Sb. Tento zákaz platí do doby, než bude ověřena zdravotní nezávadnost vody (vyhláška č. 135/2004 Sb., kterou se stanoví hygienické požadavky na koupaliště, sauny a hygienické limity písku v pískovištích venkovních hracích ploch), a to po provedení asanačních opatření v povodí. Radiologické ukazatele jakosti vody stanoví vyhláška č. 307/2002 Sb., o radiační ochraně. Vyhodnocení jakosti vody ke koupání z pohledu radiologického spadá do kompetence Státního ústavu pro jadernou bezpečnost.</w:t>
      </w:r>
    </w:p>
    <w:p w:rsidR="00F94FCD" w:rsidRDefault="00F94FCD" w:rsidP="00F94FCD">
      <w:pPr>
        <w:numPr>
          <w:ilvl w:val="0"/>
          <w:numId w:val="4"/>
        </w:numPr>
        <w:spacing w:before="120"/>
        <w:rPr>
          <w:rFonts w:cs="Arial"/>
          <w:szCs w:val="22"/>
        </w:rPr>
      </w:pPr>
      <w:r>
        <w:rPr>
          <w:rFonts w:cs="Arial"/>
          <w:szCs w:val="22"/>
        </w:rPr>
        <w:lastRenderedPageBreak/>
        <w:t xml:space="preserve">V případech, kdy </w:t>
      </w:r>
      <w:r>
        <w:rPr>
          <w:rFonts w:cs="Arial"/>
          <w:b/>
          <w:szCs w:val="22"/>
        </w:rPr>
        <w:t>provozovatel koupaliště vyřadil koupaliště z provozu sám a opět zprovoznil</w:t>
      </w:r>
      <w:r>
        <w:rPr>
          <w:rFonts w:cs="Arial"/>
          <w:szCs w:val="22"/>
        </w:rPr>
        <w:t xml:space="preserve">, vydají OOVZ provozovateli nařízení podle § 85 odst. 1 zákona č. 258/2000 Sb., ve kterém nařídí zvýšenou četnost sledování jakosti vody v koupališti (případně upravený rozsah stanovení) a další potřebná opatření. Současně OOVZ zajistí státní zdravotní dozor nad těmito zařízeními. (Při státním zdravotním dozoru se vychází z </w:t>
      </w:r>
      <w:r>
        <w:rPr>
          <w:rFonts w:cs="Arial"/>
          <w:bCs/>
          <w:szCs w:val="22"/>
        </w:rPr>
        <w:t>§ 84 zákona č. 258/2000 Sb</w:t>
      </w:r>
      <w:r>
        <w:rPr>
          <w:rFonts w:cs="Arial"/>
          <w:szCs w:val="22"/>
        </w:rPr>
        <w:t xml:space="preserve">.). </w:t>
      </w:r>
    </w:p>
    <w:p w:rsidR="00F94FCD" w:rsidRDefault="00F94FCD" w:rsidP="00F94FCD">
      <w:pPr>
        <w:numPr>
          <w:ilvl w:val="0"/>
          <w:numId w:val="4"/>
        </w:numPr>
        <w:spacing w:before="120"/>
        <w:rPr>
          <w:rFonts w:cs="Arial"/>
          <w:szCs w:val="22"/>
        </w:rPr>
      </w:pPr>
      <w:r>
        <w:rPr>
          <w:rFonts w:cs="Arial"/>
          <w:szCs w:val="22"/>
        </w:rPr>
        <w:t xml:space="preserve">KHS je povinna jakéhokoliv nařízení ve smyslu § 85 odst. 1 zákona č. 258/2000 Sb. zákona č. 258/2000 Sb. po celou dobu jeho platnosti </w:t>
      </w:r>
      <w:r>
        <w:rPr>
          <w:rFonts w:cs="Arial"/>
          <w:b/>
          <w:szCs w:val="22"/>
        </w:rPr>
        <w:t>vyvěsit na své úřední desce a úřední desce obce</w:t>
      </w:r>
      <w:r>
        <w:rPr>
          <w:rFonts w:cs="Arial"/>
          <w:szCs w:val="22"/>
        </w:rPr>
        <w:t xml:space="preserve"> a informovat Ministerstvo zdravotnictví o jeho vydání.</w:t>
      </w:r>
    </w:p>
    <w:p w:rsidR="00F94FCD" w:rsidRDefault="00F94FCD" w:rsidP="00F94FCD">
      <w:pPr>
        <w:ind w:left="357"/>
        <w:rPr>
          <w:rFonts w:cs="Arial"/>
          <w:szCs w:val="22"/>
        </w:rPr>
      </w:pPr>
    </w:p>
    <w:p w:rsidR="00F94FCD" w:rsidRDefault="00F94FCD" w:rsidP="00F94FCD">
      <w:pPr>
        <w:ind w:left="360"/>
        <w:rPr>
          <w:rFonts w:cs="Arial"/>
          <w:szCs w:val="22"/>
        </w:rPr>
      </w:pPr>
    </w:p>
    <w:p w:rsidR="00F94FCD" w:rsidRDefault="00F94FCD" w:rsidP="00F94FCD">
      <w:pPr>
        <w:numPr>
          <w:ilvl w:val="0"/>
          <w:numId w:val="13"/>
        </w:numPr>
        <w:tabs>
          <w:tab w:val="clear" w:pos="720"/>
        </w:tabs>
        <w:ind w:left="360"/>
        <w:rPr>
          <w:rFonts w:cs="Arial"/>
          <w:szCs w:val="22"/>
          <w:u w:val="single"/>
        </w:rPr>
      </w:pPr>
      <w:r>
        <w:rPr>
          <w:rFonts w:cs="Arial"/>
          <w:szCs w:val="22"/>
          <w:u w:val="single"/>
        </w:rPr>
        <w:t>Pohřbívání</w:t>
      </w:r>
    </w:p>
    <w:p w:rsidR="00F94FCD" w:rsidRDefault="00F94FCD" w:rsidP="00F94FCD">
      <w:pPr>
        <w:numPr>
          <w:ilvl w:val="0"/>
          <w:numId w:val="4"/>
        </w:numPr>
        <w:spacing w:before="120"/>
        <w:rPr>
          <w:rFonts w:cs="Arial"/>
          <w:szCs w:val="22"/>
        </w:rPr>
      </w:pPr>
      <w:r>
        <w:rPr>
          <w:rFonts w:cs="Arial"/>
          <w:szCs w:val="22"/>
        </w:rPr>
        <w:t xml:space="preserve">Podle § 5 odst. 3 zákona č. 256/2001 Sb., o pohřebnictví, může </w:t>
      </w:r>
      <w:r>
        <w:rPr>
          <w:rFonts w:cs="Arial"/>
          <w:b/>
          <w:szCs w:val="22"/>
        </w:rPr>
        <w:t>KHS</w:t>
      </w:r>
      <w:r>
        <w:rPr>
          <w:rFonts w:cs="Arial"/>
          <w:szCs w:val="22"/>
        </w:rPr>
        <w:t xml:space="preserve"> v případě, že osoba byla v době úmrtí nakažena nebezpečnou nemocí, </w:t>
      </w:r>
      <w:r>
        <w:rPr>
          <w:rFonts w:cs="Arial"/>
          <w:b/>
          <w:szCs w:val="22"/>
        </w:rPr>
        <w:t>stanovit způsob nakládání s lidskými pozůstatky při pohřbení, jakož i rozhodnout o pohřbení zpopelněním bez ohledu na vůli osoby sjednávající pohřbení</w:t>
      </w:r>
      <w:r>
        <w:rPr>
          <w:rFonts w:cs="Arial"/>
          <w:szCs w:val="22"/>
        </w:rPr>
        <w:t>. Odvolání proti rozhodnutí KHS nemá odkladný účinek.</w:t>
      </w:r>
    </w:p>
    <w:p w:rsidR="00F94FCD" w:rsidRDefault="00F94FCD" w:rsidP="00F94FCD">
      <w:pPr>
        <w:rPr>
          <w:rFonts w:cs="Arial"/>
          <w:szCs w:val="22"/>
        </w:rPr>
      </w:pPr>
    </w:p>
    <w:p w:rsidR="00F94FCD" w:rsidRDefault="00F94FCD" w:rsidP="00F94FCD">
      <w:pPr>
        <w:rPr>
          <w:rFonts w:cs="Arial"/>
          <w:szCs w:val="22"/>
          <w:u w:val="single"/>
        </w:rPr>
      </w:pPr>
    </w:p>
    <w:p w:rsidR="00F94FCD" w:rsidRDefault="00F94FCD" w:rsidP="00F94FCD">
      <w:pPr>
        <w:numPr>
          <w:ilvl w:val="0"/>
          <w:numId w:val="13"/>
        </w:numPr>
        <w:tabs>
          <w:tab w:val="clear" w:pos="720"/>
        </w:tabs>
        <w:ind w:left="360"/>
        <w:rPr>
          <w:rFonts w:cs="Arial"/>
          <w:szCs w:val="22"/>
          <w:u w:val="single"/>
        </w:rPr>
      </w:pPr>
      <w:r>
        <w:rPr>
          <w:rFonts w:cs="Arial"/>
          <w:szCs w:val="22"/>
          <w:u w:val="single"/>
        </w:rPr>
        <w:t>Odpady</w:t>
      </w:r>
    </w:p>
    <w:p w:rsidR="00F94FCD" w:rsidRDefault="00F94FCD" w:rsidP="00F94FCD">
      <w:pPr>
        <w:numPr>
          <w:ilvl w:val="0"/>
          <w:numId w:val="4"/>
        </w:numPr>
        <w:spacing w:before="120"/>
        <w:rPr>
          <w:rFonts w:cs="Arial"/>
          <w:szCs w:val="22"/>
        </w:rPr>
      </w:pPr>
      <w:r>
        <w:rPr>
          <w:rFonts w:cs="Arial"/>
          <w:szCs w:val="22"/>
        </w:rPr>
        <w:t xml:space="preserve">KHS, podle § 75 zákona č. 185/2001 Sb., o odpadech, jsou dotčeným správním úřadem při rozhodování ve věcech, které se dotýkají zájmů chráněných podle tohoto zákona v oblasti ochrany lidského zdraví a hodnotí a řídí zdravotní rizika a </w:t>
      </w:r>
      <w:r>
        <w:rPr>
          <w:rFonts w:cs="Arial"/>
          <w:b/>
          <w:szCs w:val="22"/>
        </w:rPr>
        <w:t>vydávají z hlediska ochrany zdraví lidí odborné stanovisko k návrhům při nakládání s odpady</w:t>
      </w:r>
      <w:r>
        <w:rPr>
          <w:rFonts w:cs="Arial"/>
          <w:szCs w:val="22"/>
        </w:rPr>
        <w:t>, zejména k jejich využívání, úpravě a odstranění.</w:t>
      </w:r>
    </w:p>
    <w:p w:rsidR="00F94FCD" w:rsidRDefault="00F94FCD" w:rsidP="00F94FCD">
      <w:pPr>
        <w:spacing w:before="120"/>
        <w:rPr>
          <w:rFonts w:cs="Arial"/>
          <w:szCs w:val="22"/>
        </w:rPr>
      </w:pPr>
    </w:p>
    <w:p w:rsidR="00F94FCD" w:rsidRDefault="00F94FCD" w:rsidP="00F94FCD">
      <w:pPr>
        <w:spacing w:before="120"/>
        <w:rPr>
          <w:rFonts w:cs="Arial"/>
          <w:szCs w:val="22"/>
        </w:rPr>
      </w:pPr>
    </w:p>
    <w:p w:rsidR="00F94FCD" w:rsidRDefault="00F94FCD" w:rsidP="00F94FCD">
      <w:pPr>
        <w:spacing w:before="120"/>
        <w:ind w:firstLine="709"/>
        <w:rPr>
          <w:rFonts w:cs="Arial"/>
          <w:b/>
          <w:color w:val="auto"/>
          <w:szCs w:val="22"/>
        </w:rPr>
      </w:pPr>
    </w:p>
    <w:p w:rsidR="00F94FCD" w:rsidRDefault="00F94FCD" w:rsidP="00F94FCD">
      <w:pPr>
        <w:jc w:val="left"/>
        <w:rPr>
          <w:rFonts w:cs="Arial"/>
          <w:szCs w:val="22"/>
        </w:rPr>
      </w:pPr>
      <w:r>
        <w:rPr>
          <w:rFonts w:cs="Arial"/>
          <w:szCs w:val="22"/>
        </w:rPr>
        <w:t>Příloha č. 4: Pravidla základní hygieny po záplavách – leták MZ ČR</w:t>
      </w:r>
    </w:p>
    <w:p w:rsidR="00F94FCD" w:rsidRPr="000242CB" w:rsidRDefault="00F94FCD" w:rsidP="00F94FCD">
      <w:pPr>
        <w:jc w:val="center"/>
        <w:rPr>
          <w:rFonts w:cs="Arial"/>
          <w:b/>
          <w:sz w:val="24"/>
        </w:rPr>
      </w:pPr>
      <w:r>
        <w:rPr>
          <w:rFonts w:cs="Arial"/>
          <w:szCs w:val="22"/>
        </w:rPr>
        <w:br w:type="page"/>
      </w:r>
      <w:r w:rsidRPr="000242CB">
        <w:rPr>
          <w:rFonts w:cs="Arial"/>
          <w:b/>
          <w:sz w:val="24"/>
        </w:rPr>
        <w:lastRenderedPageBreak/>
        <w:t>Oblast předmětů a materiálů určených pros tyk s potravinami</w:t>
      </w:r>
    </w:p>
    <w:p w:rsidR="00F94FCD" w:rsidRDefault="00F94FCD" w:rsidP="00F94FCD">
      <w:pPr>
        <w:jc w:val="center"/>
        <w:rPr>
          <w:rFonts w:cs="Arial"/>
          <w:b/>
          <w:sz w:val="24"/>
        </w:rPr>
      </w:pPr>
      <w:r>
        <w:rPr>
          <w:rFonts w:cs="Arial"/>
          <w:b/>
          <w:sz w:val="24"/>
        </w:rPr>
        <w:t>(</w:t>
      </w:r>
      <w:r w:rsidRPr="000242CB">
        <w:rPr>
          <w:rFonts w:cs="Arial"/>
          <w:b/>
          <w:sz w:val="24"/>
        </w:rPr>
        <w:t>Odbor hygieny výživy a PBÚ</w:t>
      </w:r>
      <w:r>
        <w:rPr>
          <w:rFonts w:cs="Arial"/>
          <w:b/>
          <w:sz w:val="24"/>
        </w:rPr>
        <w:t>)</w:t>
      </w:r>
    </w:p>
    <w:p w:rsidR="00F94FCD" w:rsidRDefault="00F94FCD" w:rsidP="00F94FCD">
      <w:pPr>
        <w:spacing w:before="120"/>
        <w:rPr>
          <w:rFonts w:cs="Arial"/>
          <w:szCs w:val="22"/>
        </w:rPr>
      </w:pPr>
    </w:p>
    <w:p w:rsidR="00F94FCD" w:rsidRDefault="00F94FCD" w:rsidP="00F94FCD">
      <w:pPr>
        <w:numPr>
          <w:ilvl w:val="1"/>
          <w:numId w:val="3"/>
        </w:numPr>
        <w:tabs>
          <w:tab w:val="clear" w:pos="1440"/>
          <w:tab w:val="num" w:pos="360"/>
        </w:tabs>
        <w:ind w:left="357" w:hanging="357"/>
        <w:rPr>
          <w:rFonts w:cs="Arial"/>
          <w:szCs w:val="22"/>
          <w:u w:val="single"/>
        </w:rPr>
      </w:pPr>
      <w:r>
        <w:rPr>
          <w:rFonts w:cs="Arial"/>
          <w:szCs w:val="22"/>
          <w:u w:val="single"/>
        </w:rPr>
        <w:t>Předměty nebo částí předmětů přicházejících do styku s potravinami, které byly v kontaktu s bahnem, kaly a záplavovou vodou</w:t>
      </w:r>
    </w:p>
    <w:p w:rsidR="00F94FCD" w:rsidRDefault="00F94FCD" w:rsidP="00F94FCD">
      <w:pPr>
        <w:numPr>
          <w:ilvl w:val="0"/>
          <w:numId w:val="1"/>
        </w:numPr>
        <w:spacing w:before="120"/>
        <w:rPr>
          <w:rFonts w:cs="Arial"/>
          <w:szCs w:val="22"/>
        </w:rPr>
      </w:pPr>
      <w:r>
        <w:rPr>
          <w:rFonts w:cs="Arial"/>
          <w:szCs w:val="22"/>
        </w:rPr>
        <w:t>Do této skupiny předmětů patří kuchyňské nádobí a náčiní, části přístrojů pro domácnost, které přicházejí do styku s potravinami, potravinářské obaly, dále vybavení provozoven společného stravování (restaurace, školní a závodní jídelny, kantýny, stánky s občerstvením apod.) nebo zařízení ve výrobnách potravin, které samy nebo jejich části přicházejí do styku s potravinami či s potravinářskými surovinami.</w:t>
      </w:r>
    </w:p>
    <w:p w:rsidR="00F94FCD" w:rsidRDefault="00F94FCD" w:rsidP="00F94FCD">
      <w:pPr>
        <w:numPr>
          <w:ilvl w:val="0"/>
          <w:numId w:val="1"/>
        </w:numPr>
        <w:spacing w:before="120"/>
        <w:rPr>
          <w:rFonts w:cs="Arial"/>
          <w:szCs w:val="22"/>
        </w:rPr>
      </w:pPr>
      <w:r>
        <w:rPr>
          <w:rFonts w:cs="Arial"/>
          <w:szCs w:val="22"/>
        </w:rPr>
        <w:t>Všechny předměty, které jsou vyrobeny z porézních nasákavých materiálů, do nichž může vsakovat voda, musí být po zasažení záplavovou vodou, kaly nebo bahnem zlikvidovány (např. obalové materiály z papíru, filtry a filtrační materiály z papíru, obalové fólie z plastů).</w:t>
      </w:r>
    </w:p>
    <w:p w:rsidR="00F94FCD" w:rsidRDefault="00F94FCD" w:rsidP="00F94FCD">
      <w:pPr>
        <w:numPr>
          <w:ilvl w:val="0"/>
          <w:numId w:val="1"/>
        </w:numPr>
        <w:spacing w:before="120"/>
        <w:rPr>
          <w:rFonts w:cs="Arial"/>
          <w:szCs w:val="22"/>
        </w:rPr>
      </w:pPr>
      <w:r>
        <w:rPr>
          <w:rFonts w:cs="Arial"/>
          <w:szCs w:val="22"/>
        </w:rPr>
        <w:t xml:space="preserve">Předměty z porézních materiálů, které je možné na vnitřním i vnějším povrchu podrobit uvedenému sanitačnímu procesu (tj. důkladném mechanickém očištění, omytí, dezinfekci a opětovném omytí pitnou vodou) je možné dále použít k jiným účelům, než pro styk s potravinami (keramické výrobky, plastové tenkostěnné obaly, plastové kanystry apod.) </w:t>
      </w:r>
    </w:p>
    <w:p w:rsidR="00F94FCD" w:rsidRDefault="00F94FCD" w:rsidP="00F94FCD">
      <w:pPr>
        <w:numPr>
          <w:ilvl w:val="0"/>
          <w:numId w:val="1"/>
        </w:numPr>
        <w:spacing w:before="120"/>
        <w:rPr>
          <w:rFonts w:cs="Arial"/>
          <w:szCs w:val="22"/>
        </w:rPr>
      </w:pPr>
      <w:r>
        <w:rPr>
          <w:rFonts w:cs="Arial"/>
          <w:szCs w:val="22"/>
        </w:rPr>
        <w:t xml:space="preserve">Předměty nebo jejich části, které jsou vyrobeny z materiálů schopných odolat použitým dezinfekčním a čistícím prostředkům </w:t>
      </w:r>
      <w:r>
        <w:rPr>
          <w:rFonts w:cs="Arial"/>
          <w:b/>
          <w:szCs w:val="22"/>
        </w:rPr>
        <w:t>musí být podrobeny následujícímu postupu</w:t>
      </w:r>
      <w:r>
        <w:rPr>
          <w:rFonts w:cs="Arial"/>
          <w:szCs w:val="22"/>
        </w:rPr>
        <w:t>:</w:t>
      </w:r>
    </w:p>
    <w:p w:rsidR="00F94FCD" w:rsidRDefault="00F94FCD" w:rsidP="00F94FCD">
      <w:pPr>
        <w:numPr>
          <w:ilvl w:val="0"/>
          <w:numId w:val="9"/>
        </w:numPr>
        <w:tabs>
          <w:tab w:val="clear" w:pos="700"/>
          <w:tab w:val="num" w:pos="1260"/>
        </w:tabs>
        <w:spacing w:before="120"/>
        <w:ind w:left="1260" w:hanging="360"/>
        <w:rPr>
          <w:rFonts w:cs="Arial"/>
          <w:szCs w:val="22"/>
        </w:rPr>
      </w:pPr>
      <w:r>
        <w:rPr>
          <w:rFonts w:cs="Arial"/>
          <w:szCs w:val="22"/>
        </w:rPr>
        <w:t>Předměty musí být důkladně mechanicky zbaveny viditelných nečistot. Postup se volí podle charakteru předmětu a odolnosti materiálu nebo materiálů, z nichž je předmět vyroben. Tam, kde je to vhodné a umožňuje to materiálové složení předmětů, se doporučuje mechanické očištění všech povrchů, včetně méně přístupných prostor, tlakovou vodou.</w:t>
      </w:r>
    </w:p>
    <w:p w:rsidR="00F94FCD" w:rsidRDefault="00F94FCD" w:rsidP="00F94FCD">
      <w:pPr>
        <w:numPr>
          <w:ilvl w:val="0"/>
          <w:numId w:val="9"/>
        </w:numPr>
        <w:tabs>
          <w:tab w:val="clear" w:pos="700"/>
          <w:tab w:val="num" w:pos="1260"/>
        </w:tabs>
        <w:spacing w:before="120"/>
        <w:ind w:left="1260" w:hanging="360"/>
        <w:rPr>
          <w:rFonts w:cs="Arial"/>
          <w:szCs w:val="22"/>
        </w:rPr>
      </w:pPr>
      <w:r>
        <w:rPr>
          <w:rFonts w:cs="Arial"/>
          <w:szCs w:val="22"/>
        </w:rPr>
        <w:t>Po mechanickém očištění (pokud nebyla použita tlaková voda) musí být předměty důkladně omyty pokud možno pitnou vodou. K omytí se doporučuje pro odmaštění povrchů použít vodu s přídavkem saponátového prostředku.</w:t>
      </w:r>
    </w:p>
    <w:p w:rsidR="00F94FCD" w:rsidRDefault="00F94FCD" w:rsidP="00F94FCD">
      <w:pPr>
        <w:numPr>
          <w:ilvl w:val="0"/>
          <w:numId w:val="9"/>
        </w:numPr>
        <w:tabs>
          <w:tab w:val="clear" w:pos="700"/>
          <w:tab w:val="num" w:pos="1260"/>
        </w:tabs>
        <w:spacing w:before="120"/>
        <w:ind w:left="1260" w:hanging="360"/>
        <w:rPr>
          <w:rFonts w:cs="Arial"/>
          <w:szCs w:val="22"/>
        </w:rPr>
      </w:pPr>
      <w:r>
        <w:rPr>
          <w:rFonts w:cs="Arial"/>
          <w:szCs w:val="22"/>
        </w:rPr>
        <w:t xml:space="preserve">Po omytí musí být provedena dezinfekce vhodným dezinfekčním prostředkem. Volba dezinfekčního prostředku se řídí: </w:t>
      </w:r>
    </w:p>
    <w:p w:rsidR="00F94FCD" w:rsidRDefault="00F94FCD" w:rsidP="00F94FCD">
      <w:pPr>
        <w:numPr>
          <w:ilvl w:val="0"/>
          <w:numId w:val="10"/>
        </w:numPr>
        <w:tabs>
          <w:tab w:val="clear" w:pos="1440"/>
          <w:tab w:val="num" w:pos="1800"/>
        </w:tabs>
        <w:spacing w:before="60"/>
        <w:ind w:left="1798" w:hanging="539"/>
        <w:rPr>
          <w:rFonts w:cs="Arial"/>
          <w:szCs w:val="22"/>
        </w:rPr>
      </w:pPr>
      <w:r>
        <w:rPr>
          <w:rFonts w:cs="Arial"/>
          <w:szCs w:val="22"/>
        </w:rPr>
        <w:t>jeho účinností vůči choroboplodným mikroorganismům</w:t>
      </w:r>
    </w:p>
    <w:p w:rsidR="00F94FCD" w:rsidRDefault="00F94FCD" w:rsidP="00F94FCD">
      <w:pPr>
        <w:numPr>
          <w:ilvl w:val="0"/>
          <w:numId w:val="10"/>
        </w:numPr>
        <w:tabs>
          <w:tab w:val="clear" w:pos="1440"/>
          <w:tab w:val="num" w:pos="1800"/>
        </w:tabs>
        <w:spacing w:before="60"/>
        <w:ind w:left="1798" w:hanging="539"/>
        <w:rPr>
          <w:rFonts w:cs="Arial"/>
          <w:szCs w:val="22"/>
        </w:rPr>
      </w:pPr>
      <w:r>
        <w:rPr>
          <w:rFonts w:cs="Arial"/>
          <w:szCs w:val="22"/>
        </w:rPr>
        <w:t>schopností materiálu předmětu odolávat dezinfekčnímu prostředku</w:t>
      </w:r>
    </w:p>
    <w:p w:rsidR="00F94FCD" w:rsidRDefault="00F94FCD" w:rsidP="00F94FCD">
      <w:pPr>
        <w:numPr>
          <w:ilvl w:val="0"/>
          <w:numId w:val="11"/>
        </w:numPr>
        <w:tabs>
          <w:tab w:val="clear" w:pos="700"/>
          <w:tab w:val="num" w:pos="1260"/>
        </w:tabs>
        <w:spacing w:before="120"/>
        <w:ind w:left="1260" w:hanging="360"/>
        <w:rPr>
          <w:rFonts w:cs="Arial"/>
          <w:szCs w:val="22"/>
        </w:rPr>
      </w:pPr>
      <w:r>
        <w:rPr>
          <w:rFonts w:cs="Arial"/>
          <w:szCs w:val="22"/>
        </w:rPr>
        <w:t>Nejběžnějšími dostupnými dezinfekčními prostředky jsou CHLORAMIN T a SAVO. Při jejich použití je nutno respektovat doporučení výrobce pro přípravu koncentrace roztoku a doby působení. Po dezinfekci se předmět a jeho součásti důkladně opakovaně opláchnou pitnou vodou a osuší.</w:t>
      </w:r>
    </w:p>
    <w:p w:rsidR="00F94FCD" w:rsidRDefault="00F94FCD" w:rsidP="00F94FCD">
      <w:pPr>
        <w:numPr>
          <w:ilvl w:val="0"/>
          <w:numId w:val="11"/>
        </w:numPr>
        <w:tabs>
          <w:tab w:val="clear" w:pos="700"/>
          <w:tab w:val="num" w:pos="1260"/>
        </w:tabs>
        <w:spacing w:before="120"/>
        <w:ind w:left="1260" w:hanging="360"/>
        <w:rPr>
          <w:rFonts w:cs="Arial"/>
          <w:szCs w:val="22"/>
        </w:rPr>
      </w:pPr>
      <w:r>
        <w:rPr>
          <w:rFonts w:cs="Arial"/>
          <w:szCs w:val="22"/>
        </w:rPr>
        <w:t>Předměty, u kterých není možné provést chemickou dezinfekci z důvodů rizika např. poškození výrobku použitými chemikáliemi, je nezbytné podrobit některému z uvedených sterilizačních postupů, zvoleném s ohledem na materiálové složení či velikost předmětu.</w:t>
      </w:r>
    </w:p>
    <w:p w:rsidR="00F94FCD" w:rsidRDefault="00F94FCD" w:rsidP="00F94FCD">
      <w:pPr>
        <w:numPr>
          <w:ilvl w:val="1"/>
          <w:numId w:val="10"/>
        </w:numPr>
        <w:tabs>
          <w:tab w:val="clear" w:pos="1440"/>
          <w:tab w:val="num" w:pos="1800"/>
        </w:tabs>
        <w:spacing w:before="60"/>
        <w:ind w:left="1798" w:hanging="539"/>
        <w:rPr>
          <w:rFonts w:cs="Arial"/>
          <w:szCs w:val="22"/>
        </w:rPr>
      </w:pPr>
      <w:r>
        <w:rPr>
          <w:rFonts w:cs="Arial"/>
          <w:szCs w:val="22"/>
        </w:rPr>
        <w:t xml:space="preserve">horkým suchým vzduchem – teplota </w:t>
      </w:r>
      <w:smartTag w:uri="urn:schemas-microsoft-com:office:smarttags" w:element="metricconverter">
        <w:smartTagPr>
          <w:attr w:name="ProductID" w:val="160ﾰC"/>
        </w:smartTagPr>
        <w:r>
          <w:rPr>
            <w:rFonts w:cs="Arial"/>
            <w:szCs w:val="22"/>
          </w:rPr>
          <w:t>160°C</w:t>
        </w:r>
      </w:smartTag>
      <w:r>
        <w:rPr>
          <w:rFonts w:cs="Arial"/>
          <w:szCs w:val="22"/>
        </w:rPr>
        <w:t xml:space="preserve"> po dobu 60 minut (v domácnostech např. v kuchyňské troubě)</w:t>
      </w:r>
    </w:p>
    <w:p w:rsidR="00F94FCD" w:rsidRDefault="00F94FCD" w:rsidP="00F94FCD">
      <w:pPr>
        <w:numPr>
          <w:ilvl w:val="1"/>
          <w:numId w:val="10"/>
        </w:numPr>
        <w:tabs>
          <w:tab w:val="clear" w:pos="1440"/>
          <w:tab w:val="num" w:pos="1800"/>
        </w:tabs>
        <w:spacing w:before="60"/>
        <w:ind w:left="1798" w:hanging="539"/>
        <w:rPr>
          <w:rFonts w:cs="Arial"/>
          <w:szCs w:val="22"/>
        </w:rPr>
      </w:pPr>
      <w:r>
        <w:rPr>
          <w:rFonts w:cs="Arial"/>
          <w:szCs w:val="22"/>
        </w:rPr>
        <w:t xml:space="preserve">horkou vodou – teplota </w:t>
      </w:r>
      <w:smartTag w:uri="urn:schemas-microsoft-com:office:smarttags" w:element="metricconverter">
        <w:smartTagPr>
          <w:attr w:name="ProductID" w:val="90ﾰC"/>
        </w:smartTagPr>
        <w:r>
          <w:rPr>
            <w:rFonts w:cs="Arial"/>
            <w:szCs w:val="22"/>
          </w:rPr>
          <w:t>90°C</w:t>
        </w:r>
      </w:smartTag>
      <w:r>
        <w:rPr>
          <w:rFonts w:cs="Arial"/>
          <w:szCs w:val="22"/>
        </w:rPr>
        <w:t xml:space="preserve"> po dobu 20 minut</w:t>
      </w:r>
    </w:p>
    <w:p w:rsidR="00F94FCD" w:rsidRDefault="00F94FCD" w:rsidP="00F94FCD">
      <w:pPr>
        <w:numPr>
          <w:ilvl w:val="1"/>
          <w:numId w:val="10"/>
        </w:numPr>
        <w:tabs>
          <w:tab w:val="clear" w:pos="1440"/>
          <w:tab w:val="num" w:pos="1800"/>
        </w:tabs>
        <w:spacing w:before="60"/>
        <w:ind w:left="1798" w:hanging="539"/>
        <w:rPr>
          <w:rFonts w:cs="Arial"/>
          <w:szCs w:val="22"/>
        </w:rPr>
      </w:pPr>
      <w:r>
        <w:rPr>
          <w:rFonts w:cs="Arial"/>
          <w:szCs w:val="22"/>
        </w:rPr>
        <w:t xml:space="preserve">kombinací teploty a dezinfekčního prostředku – teplota </w:t>
      </w:r>
      <w:smartTag w:uri="urn:schemas-microsoft-com:office:smarttags" w:element="metricconverter">
        <w:smartTagPr>
          <w:attr w:name="ProductID" w:val="60ﾰC"/>
        </w:smartTagPr>
        <w:r>
          <w:rPr>
            <w:rFonts w:cs="Arial"/>
            <w:szCs w:val="22"/>
          </w:rPr>
          <w:t>60°C</w:t>
        </w:r>
      </w:smartTag>
      <w:r>
        <w:rPr>
          <w:rFonts w:cs="Arial"/>
          <w:szCs w:val="22"/>
        </w:rPr>
        <w:t xml:space="preserve"> po dobu 20minut</w:t>
      </w:r>
    </w:p>
    <w:p w:rsidR="00F94FCD" w:rsidRDefault="00F94FCD" w:rsidP="00F94FCD">
      <w:pPr>
        <w:numPr>
          <w:ilvl w:val="0"/>
          <w:numId w:val="1"/>
        </w:numPr>
        <w:spacing w:before="120"/>
        <w:rPr>
          <w:rFonts w:cs="Arial"/>
          <w:szCs w:val="22"/>
        </w:rPr>
      </w:pPr>
      <w:r>
        <w:rPr>
          <w:rFonts w:cs="Arial"/>
          <w:szCs w:val="22"/>
        </w:rPr>
        <w:lastRenderedPageBreak/>
        <w:t>Očištěny a dezinfikovány musí být všechny části výrobků, včetně skrytých prostor a to jak na vnitřní tak na vnější straně. Např. u kuchyňského nádobí, je-li to možné, odmontovat všechny úchyty, rukojeti, těsnění apod. a dezinfikovat samostatně.</w:t>
      </w:r>
    </w:p>
    <w:p w:rsidR="00F94FCD" w:rsidRDefault="00F94FCD" w:rsidP="00F94FCD">
      <w:pPr>
        <w:numPr>
          <w:ilvl w:val="0"/>
          <w:numId w:val="1"/>
        </w:numPr>
        <w:spacing w:before="120"/>
        <w:rPr>
          <w:rFonts w:cs="Arial"/>
          <w:szCs w:val="22"/>
        </w:rPr>
      </w:pPr>
      <w:r>
        <w:rPr>
          <w:rFonts w:cs="Arial"/>
          <w:szCs w:val="22"/>
        </w:rPr>
        <w:t xml:space="preserve">U výrobků jako jsou elektrická a strojní zařízení, kde je demontáž problematická a neodborná manipulace by mohla ohrozit uživatele je třeba, aby tyto úkony provedl servis nebo výrobce. </w:t>
      </w:r>
    </w:p>
    <w:p w:rsidR="00F94FCD" w:rsidRDefault="00F94FCD" w:rsidP="00F94FCD">
      <w:pPr>
        <w:numPr>
          <w:ilvl w:val="0"/>
          <w:numId w:val="1"/>
        </w:numPr>
        <w:spacing w:before="120"/>
        <w:rPr>
          <w:rFonts w:cs="Arial"/>
          <w:szCs w:val="22"/>
        </w:rPr>
      </w:pPr>
      <w:r>
        <w:rPr>
          <w:rFonts w:cs="Arial"/>
          <w:szCs w:val="22"/>
        </w:rPr>
        <w:t xml:space="preserve">Pokud předmět nebo jeho části, které přicházejí do styku s potravinami, po provedené sanitaci vykazují viditelné známky poškození (popraskání, poškrábání, odloupnutí povrchové vrstvy, koroze apod.) nebo by mohly smyslově nepříznivě ovlivnit potraviny, nelze je použít pro styk s potravinami. Ve výjimečných případech je nutné možnost opětovného použití konzultovat s odbornými pracovníky krajské hygienické služby. </w:t>
      </w:r>
    </w:p>
    <w:p w:rsidR="00F94FCD" w:rsidRDefault="00F94FCD" w:rsidP="00F94FCD">
      <w:pPr>
        <w:numPr>
          <w:ilvl w:val="0"/>
          <w:numId w:val="1"/>
        </w:numPr>
        <w:spacing w:before="120"/>
        <w:rPr>
          <w:rFonts w:cs="Arial"/>
          <w:szCs w:val="22"/>
        </w:rPr>
      </w:pPr>
      <w:r>
        <w:rPr>
          <w:rFonts w:cs="Arial"/>
          <w:szCs w:val="22"/>
        </w:rPr>
        <w:t>U výrobků, které by po takto provedené sanitaci měly být uvedeny na trh či do oběhu nebo by měly být použity v provozovnách společného stravování či výrobě potravin je nezbytné, aby provozovatel konzultoval zdravotní nezávadnost výrobku s odbornými pracovníky KHS.</w:t>
      </w:r>
    </w:p>
    <w:p w:rsidR="00F94FCD" w:rsidRDefault="00F94FCD" w:rsidP="00F94FCD">
      <w:pPr>
        <w:rPr>
          <w:rFonts w:cs="Arial"/>
          <w:szCs w:val="22"/>
        </w:rPr>
      </w:pPr>
    </w:p>
    <w:p w:rsidR="00F94FCD" w:rsidRDefault="00F94FCD" w:rsidP="00F94FCD">
      <w:pPr>
        <w:rPr>
          <w:rFonts w:cs="Arial"/>
          <w:szCs w:val="22"/>
        </w:rPr>
      </w:pPr>
    </w:p>
    <w:p w:rsidR="00F94FCD" w:rsidRDefault="00F94FCD" w:rsidP="00F94FCD">
      <w:pPr>
        <w:numPr>
          <w:ilvl w:val="0"/>
          <w:numId w:val="12"/>
        </w:numPr>
        <w:tabs>
          <w:tab w:val="clear" w:pos="1440"/>
          <w:tab w:val="num" w:pos="360"/>
        </w:tabs>
        <w:ind w:left="360"/>
        <w:rPr>
          <w:rFonts w:cs="Arial"/>
          <w:szCs w:val="22"/>
          <w:u w:val="single"/>
        </w:rPr>
      </w:pPr>
      <w:r>
        <w:rPr>
          <w:rFonts w:cs="Arial"/>
          <w:szCs w:val="22"/>
          <w:u w:val="single"/>
        </w:rPr>
        <w:t>Potraviny</w:t>
      </w:r>
    </w:p>
    <w:p w:rsidR="00F94FCD" w:rsidRDefault="00F94FCD" w:rsidP="00F94FCD">
      <w:pPr>
        <w:numPr>
          <w:ilvl w:val="0"/>
          <w:numId w:val="2"/>
        </w:numPr>
        <w:spacing w:before="120"/>
        <w:ind w:left="714" w:hanging="357"/>
        <w:rPr>
          <w:rFonts w:cs="Arial"/>
          <w:szCs w:val="22"/>
        </w:rPr>
      </w:pPr>
      <w:r>
        <w:rPr>
          <w:rFonts w:cs="Arial"/>
          <w:szCs w:val="22"/>
        </w:rPr>
        <w:t>Potraviny, které přišly do přímého kontaktu se záplavovou vodou, s výjimkou potravin hermeticky balených ve skle nebo plechu, by neměly být konzumovány a měly by být zlikvidovány. I v případě použití konzervovaných potravin je však nutné nejprve konzervy omýt a vydenzifikovat. Doporučuje se omýt konzervy v čisté vodě se saponátem, poté opláchnou v roztoku dezinfekčního roztoku a nakonec v čisté pitné vodě. Ostatní potraviny je nutné zlikvidovat do kontejnerů k tomuto účelu určených. Zlikvidovat je nutné ale i konzervy silně pomačkané nebo s narušeným obalem nebo se silně znečištěným uzávěrem.</w:t>
      </w:r>
    </w:p>
    <w:p w:rsidR="00F94FCD" w:rsidRDefault="00F94FCD" w:rsidP="00F94FCD">
      <w:pPr>
        <w:numPr>
          <w:ilvl w:val="0"/>
          <w:numId w:val="2"/>
        </w:numPr>
        <w:spacing w:before="120"/>
        <w:ind w:left="714" w:hanging="357"/>
        <w:rPr>
          <w:rFonts w:cs="Arial"/>
          <w:color w:val="auto"/>
          <w:szCs w:val="22"/>
        </w:rPr>
      </w:pPr>
      <w:r>
        <w:rPr>
          <w:rFonts w:cs="Arial"/>
          <w:szCs w:val="22"/>
        </w:rPr>
        <w:t xml:space="preserve">Chlazené potraviny, které byly ponechány déle než 4 hodiny při teplotě nad </w:t>
      </w:r>
      <w:smartTag w:uri="urn:schemas-microsoft-com:office:smarttags" w:element="metricconverter">
        <w:smartTagPr>
          <w:attr w:name="ProductID" w:val="60 C"/>
        </w:smartTagPr>
        <w:r>
          <w:rPr>
            <w:rFonts w:cs="Arial"/>
            <w:szCs w:val="22"/>
          </w:rPr>
          <w:t>6</w:t>
        </w:r>
        <w:r>
          <w:rPr>
            <w:rFonts w:cs="Arial"/>
            <w:szCs w:val="22"/>
            <w:vertAlign w:val="superscript"/>
          </w:rPr>
          <w:t xml:space="preserve">0 </w:t>
        </w:r>
        <w:r>
          <w:rPr>
            <w:rFonts w:cs="Arial"/>
            <w:szCs w:val="22"/>
          </w:rPr>
          <w:t>C</w:t>
        </w:r>
      </w:smartTag>
      <w:r>
        <w:rPr>
          <w:rFonts w:cs="Arial"/>
          <w:szCs w:val="22"/>
        </w:rPr>
        <w:t xml:space="preserve">, a dále </w:t>
      </w:r>
      <w:r>
        <w:rPr>
          <w:rFonts w:cs="Arial"/>
          <w:color w:val="auto"/>
          <w:szCs w:val="22"/>
        </w:rPr>
        <w:t>zmrazené potraviny, které roztály a byly v tomto stavu ponechány déle než 2 hodiny, musí být zlikvidovány.</w:t>
      </w:r>
    </w:p>
    <w:p w:rsidR="00F94FCD" w:rsidRDefault="00F94FCD" w:rsidP="00F94FCD">
      <w:pPr>
        <w:numPr>
          <w:ilvl w:val="0"/>
          <w:numId w:val="2"/>
        </w:numPr>
        <w:spacing w:before="120"/>
        <w:ind w:left="714" w:hanging="357"/>
        <w:rPr>
          <w:rFonts w:cs="Arial"/>
          <w:color w:val="auto"/>
          <w:szCs w:val="22"/>
        </w:rPr>
      </w:pPr>
      <w:r>
        <w:rPr>
          <w:rFonts w:cs="Arial"/>
          <w:color w:val="auto"/>
          <w:szCs w:val="22"/>
        </w:rPr>
        <w:t xml:space="preserve">Zlikvidovány musí být všechny potraviny v otevřených baleních, dále v neotevřených baleních papírových, sáškových, látkových a celofánových, které přišly do styku se záplavovou vodou. V tomto případě je však nutné věnovat pozornost i potravinám, které sice nebyly v přímém styku se záplavovou vodou, ale došlo k navlhnutí obalů potravin nebo přímo ke zvlhnutí obsahů, a i takové potraviny je nutné vyřadit z konzumace. </w:t>
      </w:r>
    </w:p>
    <w:p w:rsidR="00F94FCD" w:rsidRDefault="00F94FCD" w:rsidP="00F94FCD">
      <w:pPr>
        <w:numPr>
          <w:ilvl w:val="0"/>
          <w:numId w:val="2"/>
        </w:numPr>
        <w:spacing w:before="120"/>
        <w:ind w:left="714" w:hanging="357"/>
        <w:rPr>
          <w:rFonts w:cs="Arial"/>
          <w:szCs w:val="22"/>
        </w:rPr>
      </w:pPr>
      <w:r>
        <w:rPr>
          <w:rFonts w:cs="Arial"/>
          <w:color w:val="auto"/>
          <w:szCs w:val="22"/>
        </w:rPr>
        <w:t>Zemědělské plodiny, které byly ve styku se záplavovou voou, je nutné z hlediska principu předběžné opatrnosti považovat za zdravotně závadné a jejich konzumace nebo další zpracování je vhodné až po hygienické kontrole. V případě rostoucích plodin se doporučuje provést takové kontroly po třech týdnech od skončení záplav. Ovoce a zelenina, které nebyly</w:t>
      </w:r>
      <w:r>
        <w:rPr>
          <w:rFonts w:cs="Arial"/>
          <w:szCs w:val="22"/>
        </w:rPr>
        <w:t xml:space="preserve"> přímo zaplaveny, ale pocházejí ze záplavových oblastí, lze konzumuvat až po důkladném omytí pitnou vodou.</w:t>
      </w:r>
    </w:p>
    <w:p w:rsidR="00F94FCD" w:rsidRDefault="00F94FCD" w:rsidP="00F94FCD">
      <w:pPr>
        <w:numPr>
          <w:ilvl w:val="0"/>
          <w:numId w:val="2"/>
        </w:numPr>
        <w:spacing w:before="120"/>
        <w:ind w:left="714" w:hanging="357"/>
        <w:rPr>
          <w:rFonts w:cs="Arial"/>
          <w:szCs w:val="22"/>
        </w:rPr>
      </w:pPr>
      <w:r>
        <w:rPr>
          <w:rFonts w:cs="Arial"/>
          <w:szCs w:val="22"/>
        </w:rPr>
        <w:t xml:space="preserve">Existuje-li jakákoliv pochybnost o zdravotní nezávadnosti potraviny, doporučuje se její likvidace. </w:t>
      </w:r>
    </w:p>
    <w:p w:rsidR="00F94FCD" w:rsidRDefault="00F94FCD" w:rsidP="00F94FCD">
      <w:pPr>
        <w:numPr>
          <w:ilvl w:val="0"/>
          <w:numId w:val="2"/>
        </w:numPr>
        <w:spacing w:before="120"/>
        <w:ind w:left="714" w:hanging="357"/>
        <w:rPr>
          <w:rFonts w:cs="Arial"/>
          <w:szCs w:val="22"/>
        </w:rPr>
      </w:pPr>
      <w:r>
        <w:rPr>
          <w:rFonts w:cs="Arial"/>
          <w:szCs w:val="22"/>
        </w:rPr>
        <w:t>V případě provozovatelů potravinářských podniků (např. restaurace, prodej potravin) se doporučuje zlikvidovat všechny potraviny, které přišly do styku se záplavovou vodou.</w:t>
      </w:r>
    </w:p>
    <w:p w:rsidR="00F94FCD" w:rsidRDefault="00F94FCD" w:rsidP="00F94FCD">
      <w:pPr>
        <w:numPr>
          <w:ilvl w:val="0"/>
          <w:numId w:val="2"/>
        </w:numPr>
        <w:spacing w:before="120"/>
        <w:ind w:left="714" w:hanging="357"/>
        <w:rPr>
          <w:rFonts w:cs="Arial"/>
          <w:szCs w:val="22"/>
        </w:rPr>
      </w:pPr>
      <w:r>
        <w:rPr>
          <w:rFonts w:cs="Arial"/>
          <w:szCs w:val="22"/>
        </w:rPr>
        <w:t xml:space="preserve">V případě jakýchkoliv příznaků onemocnění (např. bolesti břicha, průjem, zvýšená teplota) se doporučuje návštěva lékaře, který provede vyšetření a určí příčinu zdravotních potíží. Nelze podceňovat počáteční lehké příznaky. </w:t>
      </w:r>
    </w:p>
    <w:p w:rsidR="00F94FCD" w:rsidRPr="000242CB" w:rsidRDefault="00F94FCD" w:rsidP="00F94FCD">
      <w:pPr>
        <w:jc w:val="center"/>
        <w:rPr>
          <w:rFonts w:cs="Arial"/>
          <w:b/>
          <w:color w:val="auto"/>
          <w:sz w:val="24"/>
        </w:rPr>
      </w:pPr>
      <w:r>
        <w:rPr>
          <w:rFonts w:cs="Arial"/>
          <w:szCs w:val="22"/>
        </w:rPr>
        <w:br w:type="page"/>
      </w:r>
      <w:r w:rsidRPr="000242CB">
        <w:rPr>
          <w:rFonts w:cs="Arial"/>
          <w:b/>
          <w:color w:val="auto"/>
          <w:sz w:val="24"/>
        </w:rPr>
        <w:lastRenderedPageBreak/>
        <w:t>Oblast hygieny dětí a mladistvých</w:t>
      </w:r>
    </w:p>
    <w:p w:rsidR="00F94FCD" w:rsidRPr="000242CB" w:rsidRDefault="00F94FCD" w:rsidP="00F94FCD">
      <w:pPr>
        <w:jc w:val="center"/>
        <w:rPr>
          <w:rFonts w:cs="Arial"/>
          <w:b/>
          <w:sz w:val="24"/>
        </w:rPr>
      </w:pPr>
      <w:r>
        <w:rPr>
          <w:rFonts w:cs="Arial"/>
          <w:b/>
          <w:sz w:val="24"/>
        </w:rPr>
        <w:t>(</w:t>
      </w:r>
      <w:r w:rsidRPr="000242CB">
        <w:rPr>
          <w:rFonts w:cs="Arial"/>
          <w:b/>
          <w:sz w:val="24"/>
        </w:rPr>
        <w:t>Odbor hygieny dětí a mladistvých</w:t>
      </w:r>
      <w:r>
        <w:rPr>
          <w:rFonts w:cs="Arial"/>
          <w:b/>
          <w:sz w:val="24"/>
        </w:rPr>
        <w:t>)</w:t>
      </w:r>
    </w:p>
    <w:p w:rsidR="00F94FCD" w:rsidRDefault="00F94FCD" w:rsidP="00F94FCD">
      <w:pPr>
        <w:rPr>
          <w:rFonts w:cs="Arial"/>
          <w:color w:val="auto"/>
          <w:szCs w:val="22"/>
        </w:rPr>
      </w:pPr>
    </w:p>
    <w:p w:rsidR="00F94FCD" w:rsidRPr="00F231CB" w:rsidRDefault="00F94FCD" w:rsidP="00F94FCD">
      <w:pPr>
        <w:spacing w:before="120"/>
        <w:rPr>
          <w:rFonts w:cs="Arial"/>
          <w:color w:val="auto"/>
          <w:szCs w:val="22"/>
          <w:u w:val="single"/>
        </w:rPr>
      </w:pPr>
      <w:r w:rsidRPr="00F231CB">
        <w:rPr>
          <w:rFonts w:cs="Arial"/>
          <w:color w:val="auto"/>
          <w:szCs w:val="22"/>
          <w:u w:val="single"/>
        </w:rPr>
        <w:t>1. Sledování všech nahlášených zotavovacích a jiných podobných akcí pro děti</w:t>
      </w:r>
    </w:p>
    <w:p w:rsidR="00F94FCD" w:rsidRDefault="00F94FCD" w:rsidP="00F94FCD">
      <w:pPr>
        <w:rPr>
          <w:rStyle w:val="Hypertextovodkaz"/>
        </w:rPr>
      </w:pPr>
      <w:r>
        <w:t xml:space="preserve">Krajské hygienické stanice na základě oznámení o konání zotavovací akce vedou evidenci tzv. letních dětských táborů. Informace o zotavovací akci vkládají do informačního systému Registr HDM, ve kterém jsou dále evidovány i výsledky státního zdravotního dozoru na zotavovacích akcích. Data z informačního systému jsou využity pro webové stránky Ministerstva zdravotnictví ČR, které lze shlédnout na adrese: </w:t>
      </w:r>
      <w:hyperlink r:id="rId12" w:history="1">
        <w:r>
          <w:rPr>
            <w:rStyle w:val="Hypertextovodkaz"/>
          </w:rPr>
          <w:t>http://www.taboryinfo.cz/</w:t>
        </w:r>
      </w:hyperlink>
    </w:p>
    <w:p w:rsidR="00F94FCD" w:rsidRDefault="00F94FCD" w:rsidP="00F94FCD">
      <w:pPr>
        <w:rPr>
          <w:color w:val="auto"/>
        </w:rPr>
      </w:pPr>
      <w:r>
        <w:t xml:space="preserve">Na těchto stránkách jsou v mapových podkladech zveřejněny lokality, kde se letní dětské tábory konají. V informační bublině ke každému táboru jsou uvedeny informace o názvu zotavovací akce, místu jejího konání, pořadateli akce, způsobu zásobování pitnou vodou a zajištění stravování dětí. Další informace jsou o splnění ohlašovací povinnost pořadatelem tábora, termínu konání tábora a počtu rekreovaných dětí. </w:t>
      </w:r>
    </w:p>
    <w:p w:rsidR="00F94FCD" w:rsidRDefault="00F94FCD" w:rsidP="00F94FCD">
      <w:r>
        <w:t xml:space="preserve">V případě, že na táboře byla pracovníky KHS provedena kontrola, je uveden termín výkonu státního zdravotního dozoru a pokud nebyly zjištěny závady, tak je tábor označen symbolem </w:t>
      </w:r>
      <w:r>
        <w:rPr>
          <w:rFonts w:ascii="Segoe UI Symbol" w:hAnsi="Segoe UI Symbol" w:cs="Segoe UI Symbol"/>
        </w:rPr>
        <w:t>☺</w:t>
      </w:r>
      <w:r>
        <w:t xml:space="preserve"> Protože ohlašování táborů dostávají krajské hygienické stanice postupně před zahájením letní sezony a také v jejím průběhu, jsou v mapě zveřejněny i lokality, kde se akce konaly i v minulé letní sezoně. Na jedné lokalitě může probíhat i více táborů, pořadatele jednotlivých akcí lze vybrat listováním v informačním panelu po kliknutí na ikonu v mapě. </w:t>
      </w:r>
    </w:p>
    <w:p w:rsidR="00F94FCD" w:rsidRDefault="00F94FCD" w:rsidP="00F94FCD">
      <w:pPr>
        <w:spacing w:line="240" w:lineRule="auto"/>
        <w:jc w:val="left"/>
        <w:sectPr w:rsidR="00F94FCD" w:rsidSect="00E242E8">
          <w:headerReference w:type="default" r:id="rId13"/>
          <w:footerReference w:type="even" r:id="rId14"/>
          <w:footerReference w:type="default" r:id="rId15"/>
          <w:pgSz w:w="11906" w:h="16838" w:code="9"/>
          <w:pgMar w:top="1393" w:right="851" w:bottom="1134" w:left="868" w:header="851" w:footer="663" w:gutter="0"/>
          <w:cols w:space="708"/>
          <w:docGrid w:linePitch="360"/>
        </w:sectPr>
      </w:pPr>
    </w:p>
    <w:p w:rsidR="00F94FCD" w:rsidRDefault="00F94FCD" w:rsidP="00F94FCD">
      <w:pPr>
        <w:spacing w:before="120"/>
        <w:rPr>
          <w:rFonts w:cs="Arial"/>
          <w:color w:val="auto"/>
          <w:szCs w:val="22"/>
        </w:rPr>
      </w:pPr>
    </w:p>
    <w:p w:rsidR="00F94FCD" w:rsidRPr="000B7986" w:rsidRDefault="00F94FCD" w:rsidP="00F94FCD">
      <w:pPr>
        <w:spacing w:before="120"/>
        <w:rPr>
          <w:rFonts w:cs="Arial"/>
          <w:szCs w:val="22"/>
        </w:rPr>
        <w:sectPr w:rsidR="00F94FCD" w:rsidRPr="000B7986" w:rsidSect="00860E74">
          <w:type w:val="continuous"/>
          <w:pgSz w:w="11906" w:h="16838" w:code="9"/>
          <w:pgMar w:top="1928" w:right="851" w:bottom="1134" w:left="868" w:header="1077" w:footer="663" w:gutter="0"/>
          <w:cols w:space="708"/>
          <w:docGrid w:linePitch="360"/>
        </w:sectPr>
      </w:pPr>
      <w:r w:rsidRPr="000B7986">
        <w:rPr>
          <w:rFonts w:cs="Arial"/>
          <w:szCs w:val="22"/>
        </w:rPr>
        <w:t>V případě zaplavení stravovacího zařízení pro děti a mladistvé, a to i jiných než jsou zotavovací akce, je třeba postupovat dle výše uvedeného postupu v oblasti hygieny výživy a předmětů běžného užívání.</w:t>
      </w:r>
    </w:p>
    <w:p w:rsidR="00F94FCD" w:rsidRPr="000242CB" w:rsidRDefault="00F94FCD" w:rsidP="00F94FCD">
      <w:pPr>
        <w:spacing w:before="120"/>
        <w:jc w:val="center"/>
        <w:rPr>
          <w:rFonts w:cs="Arial"/>
          <w:b/>
          <w:color w:val="auto"/>
          <w:sz w:val="24"/>
        </w:rPr>
      </w:pPr>
      <w:r w:rsidRPr="000242CB">
        <w:rPr>
          <w:rFonts w:cs="Arial"/>
          <w:b/>
          <w:color w:val="auto"/>
          <w:sz w:val="24"/>
        </w:rPr>
        <w:lastRenderedPageBreak/>
        <w:t>Oblast hygieny práce</w:t>
      </w:r>
    </w:p>
    <w:p w:rsidR="00F94FCD" w:rsidRPr="000242CB" w:rsidRDefault="00F94FCD" w:rsidP="00F94FCD">
      <w:pPr>
        <w:spacing w:before="120"/>
        <w:jc w:val="center"/>
        <w:rPr>
          <w:rFonts w:cs="Arial"/>
          <w:b/>
          <w:color w:val="auto"/>
          <w:sz w:val="24"/>
        </w:rPr>
      </w:pPr>
      <w:r>
        <w:rPr>
          <w:rFonts w:cs="Arial"/>
          <w:b/>
          <w:color w:val="auto"/>
          <w:sz w:val="24"/>
        </w:rPr>
        <w:t>(</w:t>
      </w:r>
      <w:r w:rsidRPr="000242CB">
        <w:rPr>
          <w:rFonts w:cs="Arial"/>
          <w:b/>
          <w:color w:val="auto"/>
          <w:sz w:val="24"/>
        </w:rPr>
        <w:t>Odbor hygieny práce</w:t>
      </w:r>
      <w:r>
        <w:rPr>
          <w:rFonts w:cs="Arial"/>
          <w:b/>
          <w:color w:val="auto"/>
          <w:sz w:val="24"/>
        </w:rPr>
        <w:t>)</w:t>
      </w:r>
    </w:p>
    <w:p w:rsidR="00F94FCD" w:rsidRDefault="00F94FCD" w:rsidP="00F94FCD">
      <w:pPr>
        <w:spacing w:before="120"/>
        <w:jc w:val="left"/>
        <w:rPr>
          <w:rFonts w:cs="Arial"/>
          <w:color w:val="auto"/>
          <w:szCs w:val="22"/>
        </w:rPr>
      </w:pPr>
    </w:p>
    <w:p w:rsidR="00F94FCD" w:rsidRDefault="00F94FCD" w:rsidP="00F94FCD">
      <w:pPr>
        <w:rPr>
          <w:u w:val="single"/>
        </w:rPr>
      </w:pPr>
      <w:r>
        <w:rPr>
          <w:u w:val="single"/>
        </w:rPr>
        <w:t xml:space="preserve">1. </w:t>
      </w:r>
      <w:r w:rsidRPr="00665356">
        <w:rPr>
          <w:u w:val="single"/>
        </w:rPr>
        <w:t>Prevence vzniku závažných havárií v</w:t>
      </w:r>
      <w:r>
        <w:rPr>
          <w:u w:val="single"/>
        </w:rPr>
        <w:t> </w:t>
      </w:r>
      <w:r w:rsidRPr="00665356">
        <w:rPr>
          <w:u w:val="single"/>
        </w:rPr>
        <w:t>závodech</w:t>
      </w:r>
    </w:p>
    <w:p w:rsidR="00F94FCD" w:rsidRDefault="00F94FCD" w:rsidP="00F94FCD"/>
    <w:p w:rsidR="00F94FCD" w:rsidRDefault="00F94FCD" w:rsidP="00F94FCD">
      <w:r>
        <w:t>Hygiena práce se vyjadřuje v rámci řízení o integrovaném povolení podle zákona č. 76/2002 Sb., k dokumentacím a její vyjádření je součástí rozhodnutí o integrovaném povolení.</w:t>
      </w:r>
    </w:p>
    <w:p w:rsidR="00F94FCD" w:rsidRDefault="00F94FCD" w:rsidP="00F94FCD">
      <w:r>
        <w:t xml:space="preserve">V rámci prevence závažných havárií podle zákona č. 59/2006 Sb. vydává vyjádření k bezpečnostním zprávám nebo bezpečnostnímu programu. </w:t>
      </w:r>
    </w:p>
    <w:p w:rsidR="00F94FCD" w:rsidRDefault="00F94FCD" w:rsidP="00F94FCD">
      <w:r>
        <w:t>Při státním zdravotním dozoru nebo při účasti na integrovaných inspekcích s Českou inspekcí životního prostředí sleduje oddělení hygieny práce soulad vybavení pracovišť s projednanou dokumentací tj. vybavení a umístění asanačních prostředků, osobních ochranných pracovních pomůcek, dále školení zaměstnanců o bezpečnosti práce z hlediska vlastností nebezpečných chemických látek a první pomoci.</w:t>
      </w:r>
    </w:p>
    <w:p w:rsidR="00F94FCD" w:rsidRDefault="00F94FCD" w:rsidP="00F94FCD">
      <w:pPr>
        <w:spacing w:before="120"/>
        <w:rPr>
          <w:rFonts w:cs="Arial"/>
          <w:color w:val="auto"/>
          <w:szCs w:val="22"/>
        </w:rPr>
      </w:pPr>
    </w:p>
    <w:p w:rsidR="00F94FCD" w:rsidRDefault="00F94FCD" w:rsidP="00F94FCD">
      <w:pPr>
        <w:spacing w:before="120"/>
        <w:rPr>
          <w:rFonts w:cs="Arial"/>
          <w:color w:val="auto"/>
          <w:szCs w:val="22"/>
          <w:u w:val="single"/>
        </w:rPr>
      </w:pPr>
      <w:r>
        <w:rPr>
          <w:rFonts w:cs="Arial"/>
          <w:color w:val="auto"/>
          <w:szCs w:val="22"/>
          <w:u w:val="single"/>
        </w:rPr>
        <w:t>2. Nebezpečné chemické látky</w:t>
      </w:r>
    </w:p>
    <w:p w:rsidR="00F94FCD" w:rsidRPr="00CE5E04" w:rsidRDefault="00F94FCD" w:rsidP="00F94FCD">
      <w:pPr>
        <w:spacing w:before="120"/>
        <w:rPr>
          <w:rFonts w:cs="Arial"/>
          <w:color w:val="auto"/>
          <w:szCs w:val="22"/>
        </w:rPr>
      </w:pPr>
      <w:r w:rsidRPr="00665356">
        <w:rPr>
          <w:rFonts w:cs="Arial"/>
          <w:color w:val="auto"/>
          <w:szCs w:val="22"/>
        </w:rPr>
        <w:t>Každý</w:t>
      </w:r>
      <w:r>
        <w:rPr>
          <w:rFonts w:cs="Arial"/>
          <w:color w:val="auto"/>
          <w:szCs w:val="22"/>
        </w:rPr>
        <w:t>,</w:t>
      </w:r>
      <w:r w:rsidRPr="00665356">
        <w:rPr>
          <w:rFonts w:cs="Arial"/>
          <w:color w:val="auto"/>
          <w:szCs w:val="22"/>
        </w:rPr>
        <w:t xml:space="preserve"> kdo </w:t>
      </w:r>
      <w:r>
        <w:rPr>
          <w:rFonts w:cs="Arial"/>
          <w:color w:val="auto"/>
          <w:szCs w:val="22"/>
        </w:rPr>
        <w:t xml:space="preserve">nakládá </w:t>
      </w:r>
      <w:r w:rsidRPr="00665356">
        <w:rPr>
          <w:rFonts w:cs="Arial"/>
          <w:color w:val="auto"/>
          <w:szCs w:val="22"/>
        </w:rPr>
        <w:t>s</w:t>
      </w:r>
      <w:r>
        <w:rPr>
          <w:rFonts w:cs="Arial"/>
          <w:color w:val="auto"/>
          <w:szCs w:val="22"/>
        </w:rPr>
        <w:t> </w:t>
      </w:r>
      <w:r w:rsidRPr="00665356">
        <w:rPr>
          <w:rFonts w:cs="Arial"/>
          <w:color w:val="auto"/>
          <w:szCs w:val="22"/>
        </w:rPr>
        <w:t>nebezpečn</w:t>
      </w:r>
      <w:r>
        <w:rPr>
          <w:rFonts w:cs="Arial"/>
          <w:color w:val="auto"/>
          <w:szCs w:val="22"/>
        </w:rPr>
        <w:t xml:space="preserve">ými chemickými látkami nebo přípravky, které jsou klasifikovány jako </w:t>
      </w:r>
      <w:r w:rsidRPr="00CE5E04">
        <w:rPr>
          <w:rFonts w:cs="Arial"/>
          <w:color w:val="auto"/>
          <w:szCs w:val="22"/>
        </w:rPr>
        <w:t>vysoce toxické, to</w:t>
      </w:r>
      <w:r>
        <w:rPr>
          <w:rFonts w:cs="Arial"/>
          <w:color w:val="auto"/>
          <w:szCs w:val="22"/>
        </w:rPr>
        <w:t xml:space="preserve">xické, žíravé nebo karcinogenní, </w:t>
      </w:r>
      <w:r w:rsidRPr="00CE5E04">
        <w:rPr>
          <w:rFonts w:cs="Arial"/>
          <w:color w:val="auto"/>
          <w:szCs w:val="22"/>
        </w:rPr>
        <w:t>mutagenní a toxické pro reprodukci</w:t>
      </w:r>
      <w:r>
        <w:rPr>
          <w:rFonts w:cs="Arial"/>
          <w:color w:val="auto"/>
          <w:szCs w:val="22"/>
        </w:rPr>
        <w:t xml:space="preserve">, je povinen projednat s oddělením hygieny práce pravidla pro práci s těmito chemikáliemi. Pravidla </w:t>
      </w:r>
      <w:r w:rsidRPr="00384B21">
        <w:rPr>
          <w:rFonts w:cs="Arial"/>
          <w:color w:val="auto"/>
          <w:szCs w:val="22"/>
        </w:rPr>
        <w:t>musí obsahovat zejména informace o nebezpečných vlastnostech chemických látek a chemických přípravků, pokyny pro bezpečnost, ochranu zdraví a ochranu životního prostředí, pokyny pro první předlékařskou pomoc a postup při nehodě.</w:t>
      </w:r>
      <w:r>
        <w:rPr>
          <w:rFonts w:cs="Arial"/>
          <w:color w:val="auto"/>
          <w:szCs w:val="22"/>
        </w:rPr>
        <w:t xml:space="preserve"> </w:t>
      </w:r>
      <w:r w:rsidRPr="00CE5E04">
        <w:rPr>
          <w:rFonts w:cs="Arial"/>
          <w:color w:val="auto"/>
          <w:szCs w:val="22"/>
        </w:rPr>
        <w:t>Nakládáním s nebezpečnými chemickými látkami a chemickými přípravky je jejich výroba, dovoz, vývoz, prodej, používání, skladování, balení, označování a vnitropodniková doprava.</w:t>
      </w:r>
    </w:p>
    <w:p w:rsidR="00F94FCD" w:rsidRDefault="00F94FCD" w:rsidP="00F94FCD">
      <w:pPr>
        <w:spacing w:before="120"/>
        <w:rPr>
          <w:rFonts w:cs="Arial"/>
          <w:color w:val="auto"/>
          <w:szCs w:val="22"/>
        </w:rPr>
      </w:pPr>
    </w:p>
    <w:p w:rsidR="00F94FCD" w:rsidRPr="00384B21" w:rsidRDefault="00F94FCD" w:rsidP="00F94FCD">
      <w:pPr>
        <w:spacing w:before="120"/>
        <w:rPr>
          <w:rFonts w:cs="Arial"/>
          <w:color w:val="auto"/>
          <w:szCs w:val="22"/>
          <w:u w:val="single"/>
        </w:rPr>
      </w:pPr>
      <w:r>
        <w:rPr>
          <w:rFonts w:cs="Arial"/>
          <w:color w:val="auto"/>
          <w:szCs w:val="22"/>
        </w:rPr>
        <w:t xml:space="preserve">Pracovníci hygieny práce díky své kontrolní činnosti detailně znají většinu pracovišť, včetně technologií a látek používaných při práci, na území, které patří do jejich místní kompetence tj. území bývalých okresů.  </w:t>
      </w:r>
    </w:p>
    <w:p w:rsidR="00F94FCD" w:rsidRDefault="00F94FCD" w:rsidP="00F94FCD">
      <w:pPr>
        <w:spacing w:before="120"/>
        <w:jc w:val="left"/>
        <w:rPr>
          <w:rFonts w:cs="Arial"/>
          <w:b/>
          <w:color w:val="auto"/>
          <w:szCs w:val="22"/>
        </w:rPr>
      </w:pPr>
    </w:p>
    <w:p w:rsidR="00F94FCD" w:rsidRDefault="00F94FCD" w:rsidP="00F94FCD">
      <w:pPr>
        <w:spacing w:before="120"/>
        <w:jc w:val="left"/>
        <w:rPr>
          <w:rFonts w:cs="Arial"/>
          <w:b/>
          <w:color w:val="auto"/>
          <w:szCs w:val="22"/>
        </w:rPr>
        <w:sectPr w:rsidR="00F94FCD" w:rsidSect="009E1CB3">
          <w:pgSz w:w="11906" w:h="16838" w:code="9"/>
          <w:pgMar w:top="1928" w:right="851" w:bottom="1440" w:left="868" w:header="1077" w:footer="663" w:gutter="0"/>
          <w:cols w:space="708"/>
          <w:docGrid w:linePitch="360"/>
        </w:sectPr>
      </w:pPr>
    </w:p>
    <w:p w:rsidR="00F94FCD" w:rsidRDefault="00F94FCD" w:rsidP="00F94FCD">
      <w:pPr>
        <w:spacing w:before="120"/>
        <w:jc w:val="left"/>
        <w:rPr>
          <w:rFonts w:cs="Arial"/>
          <w:b/>
          <w:color w:val="auto"/>
          <w:szCs w:val="22"/>
        </w:rPr>
      </w:pPr>
      <w:r>
        <w:lastRenderedPageBreak/>
        <w:drawing>
          <wp:anchor distT="0" distB="0" distL="114300" distR="114300" simplePos="0" relativeHeight="251660288" behindDoc="1" locked="0" layoutInCell="1" allowOverlap="1">
            <wp:simplePos x="0" y="0"/>
            <wp:positionH relativeFrom="column">
              <wp:posOffset>-85725</wp:posOffset>
            </wp:positionH>
            <wp:positionV relativeFrom="paragraph">
              <wp:posOffset>335280</wp:posOffset>
            </wp:positionV>
            <wp:extent cx="9220835" cy="5447030"/>
            <wp:effectExtent l="19050" t="0" r="0" b="0"/>
            <wp:wrapTight wrapText="bothSides">
              <wp:wrapPolygon edited="0">
                <wp:start x="-45" y="0"/>
                <wp:lineTo x="-45" y="21529"/>
                <wp:lineTo x="21599" y="21529"/>
                <wp:lineTo x="21599" y="0"/>
                <wp:lineTo x="-45" y="0"/>
              </wp:wrapPolygon>
            </wp:wrapTight>
            <wp:docPr id="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srcRect/>
                    <a:stretch>
                      <a:fillRect/>
                    </a:stretch>
                  </pic:blipFill>
                  <pic:spPr bwMode="auto">
                    <a:xfrm>
                      <a:off x="0" y="0"/>
                      <a:ext cx="9220835" cy="5447030"/>
                    </a:xfrm>
                    <a:prstGeom prst="rect">
                      <a:avLst/>
                    </a:prstGeom>
                    <a:noFill/>
                    <a:ln w="9525">
                      <a:noFill/>
                      <a:miter lim="800000"/>
                      <a:headEnd/>
                      <a:tailEnd/>
                    </a:ln>
                  </pic:spPr>
                </pic:pic>
              </a:graphicData>
            </a:graphic>
          </wp:anchor>
        </w:drawing>
      </w:r>
      <w:r>
        <w:drawing>
          <wp:anchor distT="0" distB="0" distL="114300" distR="114300" simplePos="0" relativeHeight="251661312" behindDoc="0" locked="0" layoutInCell="1" allowOverlap="1">
            <wp:simplePos x="0" y="0"/>
            <wp:positionH relativeFrom="column">
              <wp:posOffset>6361430</wp:posOffset>
            </wp:positionH>
            <wp:positionV relativeFrom="paragraph">
              <wp:posOffset>2724150</wp:posOffset>
            </wp:positionV>
            <wp:extent cx="2237105" cy="2971800"/>
            <wp:effectExtent l="19050" t="0" r="0" b="0"/>
            <wp:wrapNone/>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srcRect/>
                    <a:stretch>
                      <a:fillRect/>
                    </a:stretch>
                  </pic:blipFill>
                  <pic:spPr bwMode="auto">
                    <a:xfrm>
                      <a:off x="0" y="0"/>
                      <a:ext cx="2237105" cy="2971800"/>
                    </a:xfrm>
                    <a:prstGeom prst="rect">
                      <a:avLst/>
                    </a:prstGeom>
                    <a:noFill/>
                    <a:ln w="9525">
                      <a:noFill/>
                      <a:miter lim="800000"/>
                      <a:headEnd/>
                      <a:tailEnd/>
                    </a:ln>
                  </pic:spPr>
                </pic:pic>
              </a:graphicData>
            </a:graphic>
          </wp:anchor>
        </w:drawing>
      </w:r>
      <w:r>
        <w:rPr>
          <w:rFonts w:cs="Arial"/>
          <w:b/>
          <w:color w:val="auto"/>
          <w:szCs w:val="22"/>
        </w:rPr>
        <w:t>Příloha č. 1 – Organizační struktura a seznam územních pracovišť KHS Středočeského kraje</w:t>
      </w:r>
    </w:p>
    <w:p w:rsidR="00F94FCD" w:rsidRDefault="00F94FCD" w:rsidP="00F94FCD">
      <w:pPr>
        <w:spacing w:before="120"/>
        <w:jc w:val="left"/>
        <w:rPr>
          <w:rFonts w:cs="Arial"/>
          <w:b/>
          <w:color w:val="auto"/>
          <w:szCs w:val="22"/>
        </w:rPr>
      </w:pPr>
    </w:p>
    <w:p w:rsidR="00F94FCD" w:rsidRDefault="00F94FCD" w:rsidP="00F94FCD">
      <w:pPr>
        <w:spacing w:before="120"/>
        <w:jc w:val="left"/>
        <w:rPr>
          <w:rFonts w:cs="Arial"/>
          <w:b/>
          <w:color w:val="auto"/>
          <w:szCs w:val="22"/>
        </w:rPr>
      </w:pPr>
      <w:r>
        <w:rPr>
          <w:rFonts w:cs="Arial"/>
          <w:b/>
          <w:color w:val="auto"/>
          <w:szCs w:val="22"/>
        </w:rPr>
        <w:lastRenderedPageBreak/>
        <w:t>Příloha č. 2 - Kontaktní údaje na pracovníky KHS Středočeského kraje</w:t>
      </w:r>
    </w:p>
    <w:tbl>
      <w:tblPr>
        <w:tblpPr w:leftFromText="141" w:rightFromText="141" w:vertAnchor="text" w:horzAnchor="margin" w:tblpY="453"/>
        <w:tblW w:w="13440" w:type="dxa"/>
        <w:tblCellMar>
          <w:left w:w="70" w:type="dxa"/>
          <w:right w:w="70" w:type="dxa"/>
        </w:tblCellMar>
        <w:tblLook w:val="0000"/>
      </w:tblPr>
      <w:tblGrid>
        <w:gridCol w:w="4778"/>
        <w:gridCol w:w="2635"/>
        <w:gridCol w:w="2635"/>
        <w:gridCol w:w="3392"/>
      </w:tblGrid>
      <w:tr w:rsidR="00F94FCD" w:rsidTr="00314080">
        <w:trPr>
          <w:trHeight w:val="255"/>
        </w:trPr>
        <w:tc>
          <w:tcPr>
            <w:tcW w:w="13440" w:type="dxa"/>
            <w:gridSpan w:val="4"/>
            <w:tcBorders>
              <w:top w:val="nil"/>
              <w:left w:val="nil"/>
              <w:bottom w:val="nil"/>
              <w:right w:val="nil"/>
            </w:tcBorders>
            <w:vAlign w:val="bottom"/>
          </w:tcPr>
          <w:p w:rsidR="00F94FCD" w:rsidRDefault="00F94FCD" w:rsidP="00314080">
            <w:pPr>
              <w:spacing w:line="240" w:lineRule="auto"/>
              <w:jc w:val="center"/>
              <w:rPr>
                <w:rFonts w:ascii="Tahoma" w:hAnsi="Tahoma" w:cs="Tahoma"/>
                <w:b/>
                <w:bCs/>
                <w:noProof w:val="0"/>
                <w:color w:val="auto"/>
                <w:sz w:val="20"/>
                <w:szCs w:val="20"/>
              </w:rPr>
            </w:pPr>
            <w:r>
              <w:rPr>
                <w:rFonts w:ascii="Tahoma" w:hAnsi="Tahoma" w:cs="Tahoma"/>
                <w:b/>
                <w:bCs/>
                <w:noProof w:val="0"/>
                <w:color w:val="auto"/>
                <w:sz w:val="20"/>
                <w:szCs w:val="20"/>
              </w:rPr>
              <w:t> Krajská hygienická stanice Středočeského kraje se sídlem v Praze </w:t>
            </w:r>
          </w:p>
        </w:tc>
      </w:tr>
      <w:tr w:rsidR="00F94FCD" w:rsidTr="00314080">
        <w:trPr>
          <w:trHeight w:val="255"/>
        </w:trPr>
        <w:tc>
          <w:tcPr>
            <w:tcW w:w="13440" w:type="dxa"/>
            <w:gridSpan w:val="4"/>
            <w:tcBorders>
              <w:top w:val="nil"/>
              <w:left w:val="nil"/>
              <w:bottom w:val="nil"/>
              <w:right w:val="nil"/>
            </w:tcBorders>
            <w:vAlign w:val="bottom"/>
          </w:tcPr>
          <w:p w:rsidR="00F94FCD" w:rsidRDefault="00F94FCD" w:rsidP="00314080">
            <w:pPr>
              <w:spacing w:line="240" w:lineRule="auto"/>
              <w:jc w:val="center"/>
              <w:rPr>
                <w:rFonts w:ascii="Tahoma" w:hAnsi="Tahoma" w:cs="Tahoma"/>
                <w:b/>
                <w:bCs/>
                <w:noProof w:val="0"/>
                <w:color w:val="auto"/>
                <w:sz w:val="20"/>
                <w:szCs w:val="20"/>
              </w:rPr>
            </w:pPr>
            <w:proofErr w:type="spellStart"/>
            <w:r>
              <w:rPr>
                <w:rFonts w:ascii="Tahoma" w:hAnsi="Tahoma" w:cs="Tahoma"/>
                <w:b/>
                <w:bCs/>
                <w:noProof w:val="0"/>
                <w:color w:val="auto"/>
                <w:sz w:val="20"/>
                <w:szCs w:val="20"/>
              </w:rPr>
              <w:t>Dittrichova</w:t>
            </w:r>
            <w:proofErr w:type="spellEnd"/>
            <w:r>
              <w:rPr>
                <w:rFonts w:ascii="Tahoma" w:hAnsi="Tahoma" w:cs="Tahoma"/>
                <w:b/>
                <w:bCs/>
                <w:noProof w:val="0"/>
                <w:color w:val="auto"/>
                <w:sz w:val="20"/>
                <w:szCs w:val="20"/>
              </w:rPr>
              <w:t xml:space="preserve"> 17, 128 01 Praha 2</w:t>
            </w:r>
          </w:p>
        </w:tc>
      </w:tr>
      <w:tr w:rsidR="00F94FCD" w:rsidTr="00314080">
        <w:trPr>
          <w:trHeight w:val="255"/>
        </w:trPr>
        <w:tc>
          <w:tcPr>
            <w:tcW w:w="13440" w:type="dxa"/>
            <w:gridSpan w:val="4"/>
            <w:tcBorders>
              <w:top w:val="nil"/>
              <w:left w:val="nil"/>
              <w:bottom w:val="nil"/>
              <w:right w:val="nil"/>
            </w:tcBorders>
            <w:vAlign w:val="bottom"/>
          </w:tcPr>
          <w:p w:rsidR="00F94FCD" w:rsidRDefault="00F94FCD" w:rsidP="00314080">
            <w:pPr>
              <w:spacing w:line="240" w:lineRule="auto"/>
              <w:jc w:val="center"/>
              <w:rPr>
                <w:rFonts w:ascii="Tahoma" w:hAnsi="Tahoma" w:cs="Tahoma"/>
                <w:b/>
                <w:bCs/>
                <w:noProof w:val="0"/>
                <w:color w:val="auto"/>
                <w:sz w:val="20"/>
                <w:szCs w:val="20"/>
              </w:rPr>
            </w:pPr>
            <w:r>
              <w:rPr>
                <w:rFonts w:ascii="Tahoma" w:hAnsi="Tahoma" w:cs="Tahoma"/>
                <w:b/>
                <w:bCs/>
                <w:noProof w:val="0"/>
                <w:color w:val="auto"/>
                <w:sz w:val="20"/>
                <w:szCs w:val="20"/>
              </w:rPr>
              <w:t xml:space="preserve">telefon ústředna: 234 118 111, fax: 224 916 561, email: </w:t>
            </w:r>
            <w:hyperlink r:id="rId18" w:history="1">
              <w:r>
                <w:rPr>
                  <w:rFonts w:cs="Arial"/>
                  <w:noProof w:val="0"/>
                  <w:color w:val="0000FF"/>
                  <w:sz w:val="20"/>
                  <w:u w:val="single"/>
                </w:rPr>
                <w:t>podatelna@khsstc.cz</w:t>
              </w:r>
            </w:hyperlink>
          </w:p>
        </w:tc>
      </w:tr>
      <w:tr w:rsidR="00F94FCD" w:rsidTr="00314080">
        <w:trPr>
          <w:trHeight w:val="255"/>
        </w:trPr>
        <w:tc>
          <w:tcPr>
            <w:tcW w:w="13440" w:type="dxa"/>
            <w:gridSpan w:val="4"/>
            <w:tcBorders>
              <w:top w:val="nil"/>
              <w:left w:val="nil"/>
              <w:bottom w:val="nil"/>
              <w:right w:val="nil"/>
            </w:tcBorders>
            <w:vAlign w:val="bottom"/>
          </w:tcPr>
          <w:p w:rsidR="00F94FCD" w:rsidRDefault="00F94FCD" w:rsidP="00314080">
            <w:pPr>
              <w:spacing w:line="240" w:lineRule="auto"/>
              <w:jc w:val="center"/>
              <w:rPr>
                <w:rFonts w:ascii="Tahoma" w:hAnsi="Tahoma" w:cs="Tahoma"/>
                <w:noProof w:val="0"/>
                <w:color w:val="auto"/>
                <w:sz w:val="20"/>
                <w:szCs w:val="20"/>
              </w:rPr>
            </w:pPr>
          </w:p>
        </w:tc>
      </w:tr>
      <w:tr w:rsidR="00F94FCD" w:rsidTr="00314080">
        <w:trPr>
          <w:trHeight w:val="255"/>
        </w:trPr>
        <w:tc>
          <w:tcPr>
            <w:tcW w:w="4778" w:type="dxa"/>
            <w:tcBorders>
              <w:top w:val="nil"/>
              <w:left w:val="nil"/>
              <w:bottom w:val="nil"/>
              <w:right w:val="nil"/>
            </w:tcBorders>
            <w:shd w:val="clear" w:color="auto" w:fill="CCFFFF"/>
            <w:vAlign w:val="bottom"/>
          </w:tcPr>
          <w:p w:rsidR="00F94FCD" w:rsidRDefault="00F94FCD" w:rsidP="00314080">
            <w:pPr>
              <w:spacing w:line="240" w:lineRule="auto"/>
              <w:jc w:val="left"/>
              <w:rPr>
                <w:rFonts w:ascii="Tahoma" w:hAnsi="Tahoma" w:cs="Tahoma"/>
                <w:noProof w:val="0"/>
                <w:color w:val="auto"/>
                <w:sz w:val="20"/>
                <w:szCs w:val="20"/>
              </w:rPr>
            </w:pPr>
            <w:r>
              <w:rPr>
                <w:rFonts w:ascii="Tahoma" w:hAnsi="Tahoma" w:cs="Tahoma"/>
                <w:noProof w:val="0"/>
                <w:color w:val="auto"/>
                <w:sz w:val="20"/>
                <w:szCs w:val="20"/>
              </w:rPr>
              <w:t> </w:t>
            </w:r>
            <w:r>
              <w:rPr>
                <w:rFonts w:ascii="Tahoma" w:hAnsi="Tahoma" w:cs="Tahoma"/>
                <w:b/>
                <w:bCs/>
                <w:noProof w:val="0"/>
                <w:color w:val="auto"/>
                <w:sz w:val="20"/>
                <w:szCs w:val="20"/>
              </w:rPr>
              <w:t xml:space="preserve">JUDr. Ivo </w:t>
            </w:r>
            <w:proofErr w:type="spellStart"/>
            <w:r>
              <w:rPr>
                <w:rFonts w:ascii="Tahoma" w:hAnsi="Tahoma" w:cs="Tahoma"/>
                <w:b/>
                <w:bCs/>
                <w:noProof w:val="0"/>
                <w:color w:val="auto"/>
                <w:sz w:val="20"/>
                <w:szCs w:val="20"/>
              </w:rPr>
              <w:t>Krýsa</w:t>
            </w:r>
            <w:proofErr w:type="spellEnd"/>
            <w:r>
              <w:rPr>
                <w:rFonts w:ascii="Tahoma" w:hAnsi="Tahoma" w:cs="Tahoma"/>
                <w:b/>
                <w:bCs/>
                <w:noProof w:val="0"/>
                <w:color w:val="auto"/>
                <w:sz w:val="20"/>
                <w:szCs w:val="20"/>
              </w:rPr>
              <w:t xml:space="preserve">, </w:t>
            </w:r>
            <w:proofErr w:type="spellStart"/>
            <w:r>
              <w:rPr>
                <w:rFonts w:ascii="Tahoma" w:hAnsi="Tahoma" w:cs="Tahoma"/>
                <w:b/>
                <w:bCs/>
                <w:noProof w:val="0"/>
                <w:color w:val="auto"/>
                <w:sz w:val="20"/>
                <w:szCs w:val="20"/>
              </w:rPr>
              <w:t>Ph.D</w:t>
            </w:r>
            <w:proofErr w:type="spellEnd"/>
            <w:r>
              <w:rPr>
                <w:rFonts w:ascii="Tahoma" w:hAnsi="Tahoma" w:cs="Tahoma"/>
                <w:b/>
                <w:bCs/>
                <w:noProof w:val="0"/>
                <w:color w:val="auto"/>
                <w:sz w:val="20"/>
                <w:szCs w:val="20"/>
              </w:rPr>
              <w:t xml:space="preserve">., </w:t>
            </w:r>
            <w:proofErr w:type="gramStart"/>
            <w:r>
              <w:rPr>
                <w:rFonts w:ascii="Tahoma" w:hAnsi="Tahoma" w:cs="Tahoma"/>
                <w:b/>
                <w:bCs/>
                <w:noProof w:val="0"/>
                <w:color w:val="auto"/>
                <w:sz w:val="20"/>
                <w:szCs w:val="20"/>
              </w:rPr>
              <w:t>LL.M.</w:t>
            </w:r>
            <w:proofErr w:type="gramEnd"/>
            <w:r>
              <w:rPr>
                <w:rFonts w:ascii="Tahoma" w:hAnsi="Tahoma" w:cs="Tahoma"/>
                <w:noProof w:val="0"/>
                <w:color w:val="auto"/>
                <w:sz w:val="20"/>
                <w:szCs w:val="20"/>
              </w:rPr>
              <w:t> </w:t>
            </w:r>
          </w:p>
        </w:tc>
        <w:tc>
          <w:tcPr>
            <w:tcW w:w="2635" w:type="dxa"/>
            <w:tcBorders>
              <w:top w:val="nil"/>
              <w:left w:val="nil"/>
              <w:bottom w:val="nil"/>
              <w:right w:val="nil"/>
            </w:tcBorders>
            <w:shd w:val="clear" w:color="auto" w:fill="CCFFFF"/>
            <w:vAlign w:val="bottom"/>
          </w:tcPr>
          <w:p w:rsidR="00F94FCD" w:rsidRDefault="00F94FCD" w:rsidP="00314080">
            <w:pPr>
              <w:spacing w:line="240" w:lineRule="auto"/>
              <w:jc w:val="left"/>
              <w:rPr>
                <w:rFonts w:ascii="Tahoma" w:hAnsi="Tahoma" w:cs="Tahoma"/>
                <w:noProof w:val="0"/>
                <w:color w:val="auto"/>
                <w:sz w:val="20"/>
                <w:szCs w:val="20"/>
              </w:rPr>
            </w:pPr>
            <w:r>
              <w:rPr>
                <w:rFonts w:ascii="Tahoma" w:hAnsi="Tahoma" w:cs="Tahoma"/>
                <w:noProof w:val="0"/>
                <w:color w:val="auto"/>
                <w:sz w:val="20"/>
                <w:szCs w:val="20"/>
              </w:rPr>
              <w:t> 234 118 215 </w:t>
            </w:r>
          </w:p>
        </w:tc>
        <w:tc>
          <w:tcPr>
            <w:tcW w:w="2635" w:type="dxa"/>
            <w:tcBorders>
              <w:top w:val="nil"/>
              <w:left w:val="nil"/>
              <w:bottom w:val="nil"/>
              <w:right w:val="nil"/>
            </w:tcBorders>
            <w:shd w:val="clear" w:color="auto" w:fill="CCFFFF"/>
            <w:vAlign w:val="bottom"/>
          </w:tcPr>
          <w:p w:rsidR="00F94FCD" w:rsidRDefault="00F94FCD" w:rsidP="00314080">
            <w:pPr>
              <w:spacing w:line="240" w:lineRule="auto"/>
              <w:jc w:val="left"/>
              <w:rPr>
                <w:rFonts w:ascii="Tahoma" w:hAnsi="Tahoma" w:cs="Tahoma"/>
                <w:noProof w:val="0"/>
                <w:color w:val="auto"/>
                <w:sz w:val="20"/>
                <w:szCs w:val="20"/>
              </w:rPr>
            </w:pPr>
            <w:r>
              <w:rPr>
                <w:rFonts w:ascii="Tahoma" w:hAnsi="Tahoma" w:cs="Tahoma"/>
                <w:noProof w:val="0"/>
                <w:color w:val="auto"/>
                <w:sz w:val="20"/>
                <w:szCs w:val="20"/>
              </w:rPr>
              <w:t>737 204 968</w:t>
            </w:r>
          </w:p>
        </w:tc>
        <w:tc>
          <w:tcPr>
            <w:tcW w:w="3392" w:type="dxa"/>
            <w:tcBorders>
              <w:top w:val="nil"/>
              <w:left w:val="nil"/>
              <w:bottom w:val="nil"/>
              <w:right w:val="nil"/>
            </w:tcBorders>
            <w:shd w:val="clear" w:color="auto" w:fill="CCFFFF"/>
            <w:vAlign w:val="bottom"/>
          </w:tcPr>
          <w:p w:rsidR="00F94FCD" w:rsidRDefault="00F94FCD" w:rsidP="00314080">
            <w:pPr>
              <w:spacing w:line="240" w:lineRule="auto"/>
              <w:jc w:val="left"/>
              <w:rPr>
                <w:rFonts w:cs="Arial"/>
                <w:noProof w:val="0"/>
                <w:color w:val="0000FF"/>
                <w:sz w:val="20"/>
                <w:szCs w:val="20"/>
                <w:u w:val="single"/>
              </w:rPr>
            </w:pPr>
            <w:hyperlink r:id="rId19" w:history="1">
              <w:r>
                <w:rPr>
                  <w:rFonts w:cs="Arial"/>
                  <w:noProof w:val="0"/>
                  <w:color w:val="0000FF"/>
                  <w:sz w:val="20"/>
                  <w:u w:val="single"/>
                </w:rPr>
                <w:t>info@khsstc.cz</w:t>
              </w:r>
            </w:hyperlink>
          </w:p>
        </w:tc>
      </w:tr>
      <w:tr w:rsidR="00F94FCD" w:rsidTr="00314080">
        <w:trPr>
          <w:trHeight w:val="255"/>
        </w:trPr>
        <w:tc>
          <w:tcPr>
            <w:tcW w:w="13440" w:type="dxa"/>
            <w:gridSpan w:val="4"/>
            <w:tcBorders>
              <w:top w:val="nil"/>
              <w:left w:val="nil"/>
              <w:bottom w:val="nil"/>
              <w:right w:val="nil"/>
            </w:tcBorders>
            <w:shd w:val="clear" w:color="auto" w:fill="CCFFFF"/>
            <w:vAlign w:val="bottom"/>
          </w:tcPr>
          <w:p w:rsidR="00F94FCD" w:rsidRDefault="00F94FCD" w:rsidP="00314080">
            <w:pPr>
              <w:spacing w:line="240" w:lineRule="auto"/>
              <w:jc w:val="left"/>
              <w:rPr>
                <w:rFonts w:ascii="Tahoma" w:hAnsi="Tahoma" w:cs="Tahoma"/>
                <w:noProof w:val="0"/>
                <w:color w:val="auto"/>
                <w:sz w:val="20"/>
                <w:szCs w:val="20"/>
              </w:rPr>
            </w:pPr>
            <w:r>
              <w:rPr>
                <w:rFonts w:ascii="Tahoma" w:hAnsi="Tahoma" w:cs="Tahoma"/>
                <w:noProof w:val="0"/>
                <w:color w:val="auto"/>
                <w:sz w:val="20"/>
                <w:szCs w:val="20"/>
              </w:rPr>
              <w:t> ředitel </w:t>
            </w:r>
          </w:p>
        </w:tc>
      </w:tr>
      <w:tr w:rsidR="00F94FCD" w:rsidTr="00314080">
        <w:trPr>
          <w:trHeight w:val="255"/>
        </w:trPr>
        <w:tc>
          <w:tcPr>
            <w:tcW w:w="13440" w:type="dxa"/>
            <w:gridSpan w:val="4"/>
            <w:tcBorders>
              <w:top w:val="nil"/>
              <w:left w:val="nil"/>
              <w:bottom w:val="nil"/>
              <w:right w:val="nil"/>
            </w:tcBorders>
            <w:vAlign w:val="bottom"/>
          </w:tcPr>
          <w:p w:rsidR="00F94FCD" w:rsidRDefault="00F94FCD" w:rsidP="00314080">
            <w:pPr>
              <w:spacing w:line="240" w:lineRule="auto"/>
              <w:jc w:val="center"/>
              <w:rPr>
                <w:rFonts w:ascii="Tahoma" w:hAnsi="Tahoma" w:cs="Tahoma"/>
                <w:noProof w:val="0"/>
                <w:color w:val="auto"/>
                <w:sz w:val="20"/>
                <w:szCs w:val="20"/>
              </w:rPr>
            </w:pPr>
          </w:p>
        </w:tc>
      </w:tr>
      <w:tr w:rsidR="00F94FCD" w:rsidTr="00314080">
        <w:trPr>
          <w:trHeight w:val="255"/>
        </w:trPr>
        <w:tc>
          <w:tcPr>
            <w:tcW w:w="4778" w:type="dxa"/>
            <w:tcBorders>
              <w:top w:val="nil"/>
              <w:left w:val="nil"/>
              <w:bottom w:val="nil"/>
              <w:right w:val="nil"/>
            </w:tcBorders>
            <w:shd w:val="clear" w:color="auto" w:fill="CCFFFF"/>
            <w:vAlign w:val="bottom"/>
          </w:tcPr>
          <w:p w:rsidR="00F94FCD" w:rsidRDefault="00F94FCD" w:rsidP="00314080">
            <w:pPr>
              <w:spacing w:line="240" w:lineRule="auto"/>
              <w:jc w:val="left"/>
              <w:rPr>
                <w:rFonts w:ascii="Tahoma" w:hAnsi="Tahoma" w:cs="Tahoma"/>
                <w:noProof w:val="0"/>
                <w:color w:val="auto"/>
                <w:sz w:val="20"/>
                <w:szCs w:val="20"/>
              </w:rPr>
            </w:pPr>
            <w:r>
              <w:rPr>
                <w:rFonts w:ascii="Tahoma" w:hAnsi="Tahoma" w:cs="Tahoma"/>
                <w:noProof w:val="0"/>
                <w:color w:val="auto"/>
                <w:sz w:val="20"/>
                <w:szCs w:val="20"/>
              </w:rPr>
              <w:t> </w:t>
            </w:r>
            <w:r>
              <w:rPr>
                <w:rFonts w:ascii="Tahoma" w:hAnsi="Tahoma" w:cs="Tahoma"/>
                <w:b/>
                <w:bCs/>
                <w:noProof w:val="0"/>
                <w:color w:val="auto"/>
                <w:sz w:val="20"/>
                <w:szCs w:val="20"/>
              </w:rPr>
              <w:t xml:space="preserve">Irena </w:t>
            </w:r>
            <w:proofErr w:type="spellStart"/>
            <w:r>
              <w:rPr>
                <w:rFonts w:ascii="Tahoma" w:hAnsi="Tahoma" w:cs="Tahoma"/>
                <w:b/>
                <w:bCs/>
                <w:noProof w:val="0"/>
                <w:color w:val="auto"/>
                <w:sz w:val="20"/>
                <w:szCs w:val="20"/>
              </w:rPr>
              <w:t>Macoszková</w:t>
            </w:r>
            <w:proofErr w:type="spellEnd"/>
            <w:r>
              <w:rPr>
                <w:rFonts w:ascii="Tahoma" w:hAnsi="Tahoma" w:cs="Tahoma"/>
                <w:noProof w:val="0"/>
                <w:color w:val="auto"/>
                <w:sz w:val="20"/>
                <w:szCs w:val="20"/>
              </w:rPr>
              <w:t> </w:t>
            </w:r>
          </w:p>
        </w:tc>
        <w:tc>
          <w:tcPr>
            <w:tcW w:w="2635" w:type="dxa"/>
            <w:tcBorders>
              <w:top w:val="nil"/>
              <w:left w:val="nil"/>
              <w:bottom w:val="nil"/>
              <w:right w:val="nil"/>
            </w:tcBorders>
            <w:shd w:val="clear" w:color="auto" w:fill="CCFFFF"/>
            <w:vAlign w:val="bottom"/>
          </w:tcPr>
          <w:p w:rsidR="00F94FCD" w:rsidRDefault="00F94FCD" w:rsidP="00314080">
            <w:pPr>
              <w:spacing w:line="240" w:lineRule="auto"/>
              <w:jc w:val="left"/>
              <w:rPr>
                <w:rFonts w:ascii="Tahoma" w:hAnsi="Tahoma" w:cs="Tahoma"/>
                <w:noProof w:val="0"/>
                <w:color w:val="auto"/>
                <w:sz w:val="20"/>
                <w:szCs w:val="20"/>
              </w:rPr>
            </w:pPr>
            <w:r>
              <w:rPr>
                <w:rFonts w:ascii="Tahoma" w:hAnsi="Tahoma" w:cs="Tahoma"/>
                <w:noProof w:val="0"/>
                <w:color w:val="auto"/>
                <w:sz w:val="20"/>
                <w:szCs w:val="20"/>
              </w:rPr>
              <w:t> 234 118 215 </w:t>
            </w:r>
          </w:p>
        </w:tc>
        <w:tc>
          <w:tcPr>
            <w:tcW w:w="2635" w:type="dxa"/>
            <w:tcBorders>
              <w:top w:val="nil"/>
              <w:left w:val="nil"/>
              <w:bottom w:val="nil"/>
              <w:right w:val="nil"/>
            </w:tcBorders>
            <w:shd w:val="clear" w:color="auto" w:fill="CCFFFF"/>
            <w:vAlign w:val="bottom"/>
          </w:tcPr>
          <w:p w:rsidR="00F94FCD" w:rsidRDefault="00F94FCD" w:rsidP="00314080">
            <w:pPr>
              <w:spacing w:line="240" w:lineRule="auto"/>
              <w:jc w:val="left"/>
              <w:rPr>
                <w:rFonts w:ascii="Tahoma" w:hAnsi="Tahoma" w:cs="Tahoma"/>
                <w:noProof w:val="0"/>
                <w:color w:val="auto"/>
                <w:sz w:val="20"/>
                <w:szCs w:val="20"/>
              </w:rPr>
            </w:pPr>
            <w:r>
              <w:rPr>
                <w:rFonts w:ascii="Tahoma" w:hAnsi="Tahoma" w:cs="Tahoma"/>
                <w:noProof w:val="0"/>
                <w:color w:val="auto"/>
                <w:sz w:val="20"/>
                <w:szCs w:val="20"/>
              </w:rPr>
              <w:t> </w:t>
            </w:r>
          </w:p>
        </w:tc>
        <w:tc>
          <w:tcPr>
            <w:tcW w:w="3392" w:type="dxa"/>
            <w:tcBorders>
              <w:top w:val="nil"/>
              <w:left w:val="nil"/>
              <w:bottom w:val="nil"/>
              <w:right w:val="nil"/>
            </w:tcBorders>
            <w:shd w:val="clear" w:color="auto" w:fill="CCFFFF"/>
            <w:vAlign w:val="bottom"/>
          </w:tcPr>
          <w:p w:rsidR="00F94FCD" w:rsidRDefault="00F94FCD" w:rsidP="00314080">
            <w:pPr>
              <w:spacing w:line="240" w:lineRule="auto"/>
              <w:jc w:val="left"/>
              <w:rPr>
                <w:rFonts w:cs="Arial"/>
                <w:noProof w:val="0"/>
                <w:color w:val="0000FF"/>
                <w:sz w:val="20"/>
                <w:szCs w:val="20"/>
                <w:u w:val="single"/>
              </w:rPr>
            </w:pPr>
            <w:hyperlink r:id="rId20" w:history="1">
              <w:proofErr w:type="spellStart"/>
              <w:r>
                <w:rPr>
                  <w:rFonts w:cs="Arial"/>
                  <w:noProof w:val="0"/>
                  <w:color w:val="0000FF"/>
                  <w:sz w:val="20"/>
                  <w:u w:val="single"/>
                </w:rPr>
                <w:t>info</w:t>
              </w:r>
              <w:proofErr w:type="spellEnd"/>
              <w:r w:rsidDel="009E122B">
                <w:rPr>
                  <w:rFonts w:cs="Arial"/>
                  <w:noProof w:val="0"/>
                  <w:color w:val="0000FF"/>
                  <w:sz w:val="20"/>
                  <w:u w:val="single"/>
                </w:rPr>
                <w:t xml:space="preserve"> </w:t>
              </w:r>
              <w:r>
                <w:rPr>
                  <w:rFonts w:cs="Arial"/>
                  <w:noProof w:val="0"/>
                  <w:color w:val="0000FF"/>
                  <w:sz w:val="20"/>
                  <w:u w:val="single"/>
                </w:rPr>
                <w:t>@khsstc.cz</w:t>
              </w:r>
            </w:hyperlink>
          </w:p>
        </w:tc>
      </w:tr>
      <w:tr w:rsidR="00F94FCD" w:rsidTr="00314080">
        <w:trPr>
          <w:trHeight w:val="255"/>
        </w:trPr>
        <w:tc>
          <w:tcPr>
            <w:tcW w:w="13440" w:type="dxa"/>
            <w:gridSpan w:val="4"/>
            <w:tcBorders>
              <w:top w:val="nil"/>
              <w:left w:val="nil"/>
              <w:bottom w:val="nil"/>
              <w:right w:val="nil"/>
            </w:tcBorders>
            <w:shd w:val="clear" w:color="auto" w:fill="CCFFFF"/>
            <w:vAlign w:val="bottom"/>
          </w:tcPr>
          <w:p w:rsidR="00F94FCD" w:rsidRDefault="00F94FCD" w:rsidP="00314080">
            <w:pPr>
              <w:spacing w:line="240" w:lineRule="auto"/>
              <w:jc w:val="left"/>
              <w:rPr>
                <w:rFonts w:ascii="Tahoma" w:hAnsi="Tahoma" w:cs="Tahoma"/>
                <w:noProof w:val="0"/>
                <w:color w:val="auto"/>
                <w:sz w:val="20"/>
                <w:szCs w:val="20"/>
              </w:rPr>
            </w:pPr>
            <w:r>
              <w:rPr>
                <w:rFonts w:ascii="Tahoma" w:hAnsi="Tahoma" w:cs="Tahoma"/>
                <w:noProof w:val="0"/>
                <w:color w:val="auto"/>
                <w:sz w:val="20"/>
                <w:szCs w:val="20"/>
              </w:rPr>
              <w:t> sekretariát ředitele </w:t>
            </w:r>
          </w:p>
        </w:tc>
      </w:tr>
      <w:tr w:rsidR="00F94FCD" w:rsidTr="00314080">
        <w:trPr>
          <w:trHeight w:val="255"/>
        </w:trPr>
        <w:tc>
          <w:tcPr>
            <w:tcW w:w="4778" w:type="dxa"/>
            <w:tcBorders>
              <w:top w:val="nil"/>
              <w:left w:val="nil"/>
              <w:bottom w:val="nil"/>
              <w:right w:val="nil"/>
            </w:tcBorders>
            <w:vAlign w:val="bottom"/>
          </w:tcPr>
          <w:p w:rsidR="00F94FCD" w:rsidRDefault="00F94FCD" w:rsidP="00314080">
            <w:pPr>
              <w:spacing w:line="240" w:lineRule="auto"/>
              <w:jc w:val="left"/>
              <w:rPr>
                <w:rFonts w:ascii="Tahoma" w:hAnsi="Tahoma" w:cs="Tahoma"/>
                <w:noProof w:val="0"/>
                <w:color w:val="auto"/>
                <w:sz w:val="20"/>
                <w:szCs w:val="20"/>
              </w:rPr>
            </w:pPr>
          </w:p>
        </w:tc>
        <w:tc>
          <w:tcPr>
            <w:tcW w:w="2635" w:type="dxa"/>
            <w:tcBorders>
              <w:top w:val="nil"/>
              <w:left w:val="nil"/>
              <w:bottom w:val="nil"/>
              <w:right w:val="nil"/>
            </w:tcBorders>
            <w:vAlign w:val="bottom"/>
          </w:tcPr>
          <w:p w:rsidR="00F94FCD" w:rsidRDefault="00F94FCD" w:rsidP="00314080">
            <w:pPr>
              <w:spacing w:line="240" w:lineRule="auto"/>
              <w:jc w:val="left"/>
              <w:rPr>
                <w:rFonts w:ascii="Tahoma" w:hAnsi="Tahoma" w:cs="Tahoma"/>
                <w:noProof w:val="0"/>
                <w:color w:val="auto"/>
                <w:sz w:val="20"/>
                <w:szCs w:val="20"/>
              </w:rPr>
            </w:pPr>
          </w:p>
        </w:tc>
        <w:tc>
          <w:tcPr>
            <w:tcW w:w="2635" w:type="dxa"/>
            <w:tcBorders>
              <w:top w:val="nil"/>
              <w:left w:val="nil"/>
              <w:bottom w:val="nil"/>
              <w:right w:val="nil"/>
            </w:tcBorders>
            <w:vAlign w:val="bottom"/>
          </w:tcPr>
          <w:p w:rsidR="00F94FCD" w:rsidRDefault="00F94FCD" w:rsidP="00314080">
            <w:pPr>
              <w:spacing w:line="240" w:lineRule="auto"/>
              <w:jc w:val="left"/>
              <w:rPr>
                <w:rFonts w:ascii="Tahoma" w:hAnsi="Tahoma" w:cs="Tahoma"/>
                <w:noProof w:val="0"/>
                <w:color w:val="auto"/>
                <w:sz w:val="20"/>
                <w:szCs w:val="20"/>
              </w:rPr>
            </w:pPr>
          </w:p>
        </w:tc>
        <w:tc>
          <w:tcPr>
            <w:tcW w:w="3392" w:type="dxa"/>
            <w:tcBorders>
              <w:top w:val="nil"/>
              <w:left w:val="nil"/>
              <w:bottom w:val="nil"/>
              <w:right w:val="nil"/>
            </w:tcBorders>
            <w:vAlign w:val="bottom"/>
          </w:tcPr>
          <w:p w:rsidR="00F94FCD" w:rsidRDefault="00F94FCD" w:rsidP="00314080">
            <w:pPr>
              <w:spacing w:line="240" w:lineRule="auto"/>
              <w:jc w:val="left"/>
              <w:rPr>
                <w:rFonts w:ascii="Tahoma" w:hAnsi="Tahoma" w:cs="Tahoma"/>
                <w:noProof w:val="0"/>
                <w:color w:val="auto"/>
                <w:sz w:val="20"/>
                <w:szCs w:val="20"/>
              </w:rPr>
            </w:pPr>
          </w:p>
        </w:tc>
      </w:tr>
      <w:tr w:rsidR="00F94FCD" w:rsidTr="00314080">
        <w:trPr>
          <w:trHeight w:val="255"/>
        </w:trPr>
        <w:tc>
          <w:tcPr>
            <w:tcW w:w="4778" w:type="dxa"/>
            <w:tcBorders>
              <w:top w:val="nil"/>
              <w:left w:val="nil"/>
              <w:bottom w:val="nil"/>
              <w:right w:val="nil"/>
            </w:tcBorders>
            <w:shd w:val="clear" w:color="auto" w:fill="CCFFFF"/>
            <w:vAlign w:val="bottom"/>
          </w:tcPr>
          <w:p w:rsidR="00F94FCD" w:rsidRDefault="00F94FCD" w:rsidP="00314080">
            <w:pPr>
              <w:spacing w:line="240" w:lineRule="auto"/>
              <w:jc w:val="left"/>
              <w:rPr>
                <w:rFonts w:ascii="Tahoma" w:hAnsi="Tahoma" w:cs="Tahoma"/>
                <w:noProof w:val="0"/>
                <w:color w:val="auto"/>
                <w:sz w:val="20"/>
                <w:szCs w:val="20"/>
              </w:rPr>
            </w:pPr>
            <w:r>
              <w:rPr>
                <w:rFonts w:ascii="Tahoma" w:hAnsi="Tahoma" w:cs="Tahoma"/>
                <w:noProof w:val="0"/>
                <w:color w:val="auto"/>
                <w:sz w:val="20"/>
                <w:szCs w:val="20"/>
              </w:rPr>
              <w:t> </w:t>
            </w:r>
            <w:r>
              <w:rPr>
                <w:rFonts w:ascii="Tahoma" w:hAnsi="Tahoma" w:cs="Tahoma"/>
                <w:b/>
                <w:bCs/>
                <w:noProof w:val="0"/>
                <w:color w:val="auto"/>
                <w:sz w:val="20"/>
                <w:szCs w:val="20"/>
              </w:rPr>
              <w:t>Mgr. Šárka Nováková</w:t>
            </w:r>
          </w:p>
        </w:tc>
        <w:tc>
          <w:tcPr>
            <w:tcW w:w="2635" w:type="dxa"/>
            <w:tcBorders>
              <w:top w:val="nil"/>
              <w:left w:val="nil"/>
              <w:bottom w:val="nil"/>
              <w:right w:val="nil"/>
            </w:tcBorders>
            <w:shd w:val="clear" w:color="auto" w:fill="CCFFFF"/>
            <w:vAlign w:val="bottom"/>
          </w:tcPr>
          <w:p w:rsidR="00F94FCD" w:rsidRDefault="00F94FCD" w:rsidP="00314080">
            <w:pPr>
              <w:spacing w:line="240" w:lineRule="auto"/>
              <w:jc w:val="left"/>
              <w:rPr>
                <w:rFonts w:ascii="Tahoma" w:hAnsi="Tahoma" w:cs="Tahoma"/>
                <w:noProof w:val="0"/>
                <w:color w:val="auto"/>
                <w:sz w:val="20"/>
                <w:szCs w:val="20"/>
              </w:rPr>
            </w:pPr>
            <w:r>
              <w:rPr>
                <w:rFonts w:ascii="Tahoma" w:hAnsi="Tahoma" w:cs="Tahoma"/>
                <w:noProof w:val="0"/>
                <w:color w:val="auto"/>
                <w:sz w:val="20"/>
                <w:szCs w:val="20"/>
              </w:rPr>
              <w:t> 234 118 284</w:t>
            </w:r>
          </w:p>
        </w:tc>
        <w:tc>
          <w:tcPr>
            <w:tcW w:w="2635" w:type="dxa"/>
            <w:tcBorders>
              <w:top w:val="nil"/>
              <w:left w:val="nil"/>
              <w:bottom w:val="nil"/>
              <w:right w:val="nil"/>
            </w:tcBorders>
            <w:shd w:val="clear" w:color="auto" w:fill="CCFFFF"/>
            <w:vAlign w:val="bottom"/>
          </w:tcPr>
          <w:p w:rsidR="00F94FCD" w:rsidRDefault="00F94FCD" w:rsidP="00314080">
            <w:pPr>
              <w:spacing w:line="240" w:lineRule="auto"/>
              <w:jc w:val="left"/>
              <w:rPr>
                <w:rFonts w:ascii="Tahoma" w:hAnsi="Tahoma" w:cs="Tahoma"/>
                <w:noProof w:val="0"/>
                <w:color w:val="auto"/>
                <w:sz w:val="20"/>
                <w:szCs w:val="20"/>
              </w:rPr>
            </w:pPr>
            <w:r>
              <w:rPr>
                <w:rFonts w:ascii="Tahoma" w:hAnsi="Tahoma" w:cs="Tahoma"/>
                <w:noProof w:val="0"/>
                <w:color w:val="auto"/>
                <w:sz w:val="20"/>
                <w:szCs w:val="20"/>
              </w:rPr>
              <w:t>736 521 423</w:t>
            </w:r>
          </w:p>
        </w:tc>
        <w:tc>
          <w:tcPr>
            <w:tcW w:w="3392" w:type="dxa"/>
            <w:tcBorders>
              <w:top w:val="nil"/>
              <w:left w:val="nil"/>
              <w:bottom w:val="nil"/>
              <w:right w:val="nil"/>
            </w:tcBorders>
            <w:shd w:val="clear" w:color="auto" w:fill="CCFFFF"/>
            <w:vAlign w:val="bottom"/>
          </w:tcPr>
          <w:p w:rsidR="00F94FCD" w:rsidRDefault="00F94FCD" w:rsidP="00314080">
            <w:pPr>
              <w:spacing w:line="240" w:lineRule="auto"/>
              <w:jc w:val="left"/>
              <w:rPr>
                <w:rFonts w:cs="Arial"/>
                <w:noProof w:val="0"/>
                <w:color w:val="0000FF"/>
                <w:sz w:val="20"/>
                <w:szCs w:val="20"/>
                <w:u w:val="single"/>
              </w:rPr>
            </w:pPr>
            <w:r>
              <w:rPr>
                <w:rFonts w:cs="Arial"/>
                <w:noProof w:val="0"/>
                <w:color w:val="0000FF"/>
                <w:sz w:val="20"/>
                <w:szCs w:val="20"/>
                <w:u w:val="single"/>
              </w:rPr>
              <w:t>sarka.novakova@khsstc.cz</w:t>
            </w:r>
          </w:p>
        </w:tc>
      </w:tr>
      <w:tr w:rsidR="00F94FCD" w:rsidTr="00314080">
        <w:trPr>
          <w:trHeight w:val="255"/>
        </w:trPr>
        <w:tc>
          <w:tcPr>
            <w:tcW w:w="4778" w:type="dxa"/>
            <w:tcBorders>
              <w:top w:val="nil"/>
              <w:left w:val="nil"/>
              <w:bottom w:val="nil"/>
              <w:right w:val="nil"/>
            </w:tcBorders>
            <w:shd w:val="clear" w:color="auto" w:fill="CCFFFF"/>
            <w:vAlign w:val="bottom"/>
          </w:tcPr>
          <w:p w:rsidR="00F94FCD" w:rsidRDefault="00F94FCD" w:rsidP="00314080">
            <w:pPr>
              <w:spacing w:line="240" w:lineRule="auto"/>
              <w:jc w:val="left"/>
              <w:rPr>
                <w:rFonts w:ascii="Tahoma" w:hAnsi="Tahoma" w:cs="Tahoma"/>
                <w:noProof w:val="0"/>
                <w:color w:val="auto"/>
                <w:sz w:val="20"/>
                <w:szCs w:val="20"/>
              </w:rPr>
            </w:pPr>
            <w:r>
              <w:rPr>
                <w:rFonts w:ascii="Tahoma" w:hAnsi="Tahoma" w:cs="Tahoma"/>
                <w:noProof w:val="0"/>
                <w:color w:val="auto"/>
                <w:sz w:val="20"/>
                <w:szCs w:val="20"/>
              </w:rPr>
              <w:t xml:space="preserve"> krizový </w:t>
            </w:r>
            <w:proofErr w:type="spellStart"/>
            <w:r>
              <w:rPr>
                <w:rFonts w:ascii="Tahoma" w:hAnsi="Tahoma" w:cs="Tahoma"/>
                <w:noProof w:val="0"/>
                <w:color w:val="auto"/>
                <w:sz w:val="20"/>
                <w:szCs w:val="20"/>
              </w:rPr>
              <w:t>manager</w:t>
            </w:r>
            <w:proofErr w:type="spellEnd"/>
            <w:r>
              <w:rPr>
                <w:rFonts w:ascii="Tahoma" w:hAnsi="Tahoma" w:cs="Tahoma"/>
                <w:noProof w:val="0"/>
                <w:color w:val="auto"/>
                <w:sz w:val="20"/>
                <w:szCs w:val="20"/>
              </w:rPr>
              <w:t xml:space="preserve"> (sekretariát ředitele)</w:t>
            </w:r>
          </w:p>
        </w:tc>
        <w:tc>
          <w:tcPr>
            <w:tcW w:w="2635" w:type="dxa"/>
            <w:tcBorders>
              <w:top w:val="nil"/>
              <w:left w:val="nil"/>
              <w:bottom w:val="nil"/>
              <w:right w:val="nil"/>
            </w:tcBorders>
            <w:shd w:val="clear" w:color="auto" w:fill="CCFFFF"/>
            <w:vAlign w:val="bottom"/>
          </w:tcPr>
          <w:p w:rsidR="00F94FCD" w:rsidRDefault="00F94FCD" w:rsidP="00314080">
            <w:pPr>
              <w:spacing w:line="240" w:lineRule="auto"/>
              <w:jc w:val="left"/>
              <w:rPr>
                <w:rFonts w:ascii="Tahoma" w:hAnsi="Tahoma" w:cs="Tahoma"/>
                <w:noProof w:val="0"/>
                <w:color w:val="auto"/>
                <w:sz w:val="20"/>
                <w:szCs w:val="20"/>
              </w:rPr>
            </w:pPr>
            <w:r>
              <w:rPr>
                <w:rFonts w:ascii="Tahoma" w:hAnsi="Tahoma" w:cs="Tahoma"/>
                <w:noProof w:val="0"/>
                <w:color w:val="auto"/>
                <w:sz w:val="20"/>
                <w:szCs w:val="20"/>
              </w:rPr>
              <w:t> </w:t>
            </w:r>
          </w:p>
        </w:tc>
        <w:tc>
          <w:tcPr>
            <w:tcW w:w="2635" w:type="dxa"/>
            <w:tcBorders>
              <w:top w:val="nil"/>
              <w:left w:val="nil"/>
              <w:bottom w:val="nil"/>
              <w:right w:val="nil"/>
            </w:tcBorders>
            <w:shd w:val="clear" w:color="auto" w:fill="CCFFFF"/>
            <w:vAlign w:val="bottom"/>
          </w:tcPr>
          <w:p w:rsidR="00F94FCD" w:rsidRDefault="00F94FCD" w:rsidP="00314080">
            <w:pPr>
              <w:spacing w:line="240" w:lineRule="auto"/>
              <w:jc w:val="left"/>
              <w:rPr>
                <w:rFonts w:ascii="Tahoma" w:hAnsi="Tahoma" w:cs="Tahoma"/>
                <w:noProof w:val="0"/>
                <w:color w:val="auto"/>
                <w:sz w:val="20"/>
                <w:szCs w:val="20"/>
              </w:rPr>
            </w:pPr>
            <w:r>
              <w:rPr>
                <w:rFonts w:ascii="Tahoma" w:hAnsi="Tahoma" w:cs="Tahoma"/>
                <w:noProof w:val="0"/>
                <w:color w:val="auto"/>
                <w:sz w:val="20"/>
                <w:szCs w:val="20"/>
              </w:rPr>
              <w:t> </w:t>
            </w:r>
          </w:p>
        </w:tc>
        <w:tc>
          <w:tcPr>
            <w:tcW w:w="3392" w:type="dxa"/>
            <w:tcBorders>
              <w:top w:val="nil"/>
              <w:left w:val="nil"/>
              <w:bottom w:val="nil"/>
              <w:right w:val="nil"/>
            </w:tcBorders>
            <w:shd w:val="clear" w:color="auto" w:fill="CCFFFF"/>
            <w:vAlign w:val="bottom"/>
          </w:tcPr>
          <w:p w:rsidR="00F94FCD" w:rsidRDefault="00F94FCD" w:rsidP="00314080">
            <w:pPr>
              <w:spacing w:line="240" w:lineRule="auto"/>
              <w:jc w:val="left"/>
              <w:rPr>
                <w:rFonts w:ascii="Tahoma" w:hAnsi="Tahoma" w:cs="Tahoma"/>
                <w:noProof w:val="0"/>
                <w:color w:val="auto"/>
                <w:sz w:val="20"/>
                <w:szCs w:val="20"/>
              </w:rPr>
            </w:pPr>
            <w:r>
              <w:rPr>
                <w:rFonts w:ascii="Tahoma" w:hAnsi="Tahoma" w:cs="Tahoma"/>
                <w:noProof w:val="0"/>
                <w:color w:val="auto"/>
                <w:sz w:val="20"/>
                <w:szCs w:val="20"/>
              </w:rPr>
              <w:t> </w:t>
            </w:r>
          </w:p>
        </w:tc>
      </w:tr>
      <w:tr w:rsidR="00F94FCD" w:rsidTr="00314080">
        <w:trPr>
          <w:trHeight w:val="255"/>
        </w:trPr>
        <w:tc>
          <w:tcPr>
            <w:tcW w:w="4778" w:type="dxa"/>
            <w:tcBorders>
              <w:top w:val="nil"/>
              <w:left w:val="nil"/>
              <w:bottom w:val="nil"/>
              <w:right w:val="nil"/>
            </w:tcBorders>
            <w:vAlign w:val="bottom"/>
          </w:tcPr>
          <w:p w:rsidR="00F94FCD" w:rsidRDefault="00F94FCD" w:rsidP="00314080">
            <w:pPr>
              <w:spacing w:line="240" w:lineRule="auto"/>
              <w:jc w:val="center"/>
              <w:rPr>
                <w:rFonts w:ascii="Tahoma" w:hAnsi="Tahoma" w:cs="Tahoma"/>
                <w:noProof w:val="0"/>
                <w:color w:val="auto"/>
                <w:sz w:val="20"/>
                <w:szCs w:val="20"/>
              </w:rPr>
            </w:pPr>
          </w:p>
        </w:tc>
        <w:tc>
          <w:tcPr>
            <w:tcW w:w="2635" w:type="dxa"/>
            <w:tcBorders>
              <w:top w:val="nil"/>
              <w:left w:val="nil"/>
              <w:bottom w:val="nil"/>
              <w:right w:val="nil"/>
            </w:tcBorders>
            <w:vAlign w:val="bottom"/>
          </w:tcPr>
          <w:p w:rsidR="00F94FCD" w:rsidRDefault="00F94FCD" w:rsidP="00314080">
            <w:pPr>
              <w:spacing w:line="240" w:lineRule="auto"/>
              <w:jc w:val="center"/>
              <w:rPr>
                <w:rFonts w:ascii="Tahoma" w:hAnsi="Tahoma" w:cs="Tahoma"/>
                <w:noProof w:val="0"/>
                <w:color w:val="auto"/>
                <w:sz w:val="20"/>
                <w:szCs w:val="20"/>
              </w:rPr>
            </w:pPr>
          </w:p>
        </w:tc>
        <w:tc>
          <w:tcPr>
            <w:tcW w:w="2635" w:type="dxa"/>
            <w:tcBorders>
              <w:top w:val="nil"/>
              <w:left w:val="nil"/>
              <w:bottom w:val="nil"/>
              <w:right w:val="nil"/>
            </w:tcBorders>
            <w:vAlign w:val="bottom"/>
          </w:tcPr>
          <w:p w:rsidR="00F94FCD" w:rsidRDefault="00F94FCD" w:rsidP="00314080">
            <w:pPr>
              <w:spacing w:line="240" w:lineRule="auto"/>
              <w:jc w:val="center"/>
              <w:rPr>
                <w:rFonts w:ascii="Tahoma" w:hAnsi="Tahoma" w:cs="Tahoma"/>
                <w:noProof w:val="0"/>
                <w:color w:val="auto"/>
                <w:sz w:val="20"/>
                <w:szCs w:val="20"/>
              </w:rPr>
            </w:pPr>
          </w:p>
        </w:tc>
        <w:tc>
          <w:tcPr>
            <w:tcW w:w="3392" w:type="dxa"/>
            <w:tcBorders>
              <w:top w:val="nil"/>
              <w:left w:val="nil"/>
              <w:bottom w:val="nil"/>
              <w:right w:val="nil"/>
            </w:tcBorders>
            <w:vAlign w:val="bottom"/>
          </w:tcPr>
          <w:p w:rsidR="00F94FCD" w:rsidRDefault="00F94FCD" w:rsidP="00314080">
            <w:pPr>
              <w:spacing w:line="240" w:lineRule="auto"/>
              <w:jc w:val="center"/>
              <w:rPr>
                <w:rFonts w:ascii="Tahoma" w:hAnsi="Tahoma" w:cs="Tahoma"/>
                <w:noProof w:val="0"/>
                <w:color w:val="auto"/>
                <w:sz w:val="20"/>
                <w:szCs w:val="20"/>
              </w:rPr>
            </w:pPr>
          </w:p>
        </w:tc>
      </w:tr>
      <w:tr w:rsidR="00F94FCD" w:rsidTr="00314080">
        <w:trPr>
          <w:trHeight w:val="255"/>
        </w:trPr>
        <w:tc>
          <w:tcPr>
            <w:tcW w:w="4778" w:type="dxa"/>
            <w:tcBorders>
              <w:top w:val="nil"/>
              <w:left w:val="nil"/>
              <w:bottom w:val="nil"/>
              <w:right w:val="nil"/>
            </w:tcBorders>
            <w:shd w:val="clear" w:color="auto" w:fill="CCFFFF"/>
            <w:vAlign w:val="bottom"/>
          </w:tcPr>
          <w:p w:rsidR="00F94FCD" w:rsidRDefault="00F94FCD" w:rsidP="00314080">
            <w:pPr>
              <w:spacing w:line="240" w:lineRule="auto"/>
              <w:jc w:val="left"/>
              <w:rPr>
                <w:rFonts w:ascii="Tahoma" w:hAnsi="Tahoma" w:cs="Tahoma"/>
                <w:noProof w:val="0"/>
                <w:color w:val="auto"/>
                <w:sz w:val="20"/>
                <w:szCs w:val="20"/>
              </w:rPr>
            </w:pPr>
            <w:r>
              <w:rPr>
                <w:rFonts w:cs="Arial"/>
                <w:b/>
                <w:bCs/>
                <w:noProof w:val="0"/>
                <w:color w:val="auto"/>
                <w:sz w:val="20"/>
                <w:szCs w:val="20"/>
              </w:rPr>
              <w:t xml:space="preserve"> MUDr. Michaela </w:t>
            </w:r>
            <w:proofErr w:type="spellStart"/>
            <w:r>
              <w:rPr>
                <w:rFonts w:cs="Arial"/>
                <w:b/>
                <w:bCs/>
                <w:noProof w:val="0"/>
                <w:color w:val="auto"/>
                <w:sz w:val="20"/>
                <w:szCs w:val="20"/>
              </w:rPr>
              <w:t>Krchová</w:t>
            </w:r>
            <w:proofErr w:type="spellEnd"/>
          </w:p>
        </w:tc>
        <w:tc>
          <w:tcPr>
            <w:tcW w:w="2635" w:type="dxa"/>
            <w:tcBorders>
              <w:top w:val="nil"/>
              <w:left w:val="nil"/>
              <w:bottom w:val="nil"/>
              <w:right w:val="nil"/>
            </w:tcBorders>
            <w:shd w:val="clear" w:color="auto" w:fill="CCFFFF"/>
            <w:vAlign w:val="bottom"/>
          </w:tcPr>
          <w:p w:rsidR="00F94FCD" w:rsidRDefault="00F94FCD" w:rsidP="00314080">
            <w:pPr>
              <w:spacing w:line="240" w:lineRule="auto"/>
              <w:jc w:val="left"/>
              <w:rPr>
                <w:rFonts w:ascii="Tahoma" w:hAnsi="Tahoma" w:cs="Tahoma"/>
                <w:noProof w:val="0"/>
                <w:color w:val="auto"/>
                <w:sz w:val="20"/>
                <w:szCs w:val="20"/>
              </w:rPr>
            </w:pPr>
            <w:r>
              <w:rPr>
                <w:rFonts w:cs="Arial"/>
                <w:noProof w:val="0"/>
                <w:color w:val="auto"/>
                <w:sz w:val="20"/>
                <w:szCs w:val="20"/>
              </w:rPr>
              <w:t>234 118 234</w:t>
            </w:r>
          </w:p>
        </w:tc>
        <w:tc>
          <w:tcPr>
            <w:tcW w:w="2635" w:type="dxa"/>
            <w:tcBorders>
              <w:top w:val="nil"/>
              <w:left w:val="nil"/>
              <w:bottom w:val="nil"/>
              <w:right w:val="nil"/>
            </w:tcBorders>
            <w:shd w:val="clear" w:color="auto" w:fill="CCFFFF"/>
            <w:vAlign w:val="bottom"/>
          </w:tcPr>
          <w:p w:rsidR="00F94FCD" w:rsidRDefault="00F94FCD" w:rsidP="00314080">
            <w:pPr>
              <w:spacing w:line="240" w:lineRule="auto"/>
              <w:jc w:val="left"/>
              <w:rPr>
                <w:rFonts w:ascii="Tahoma" w:hAnsi="Tahoma" w:cs="Tahoma"/>
                <w:noProof w:val="0"/>
                <w:color w:val="auto"/>
                <w:sz w:val="20"/>
                <w:szCs w:val="20"/>
              </w:rPr>
            </w:pPr>
            <w:r>
              <w:rPr>
                <w:rFonts w:cs="Arial"/>
                <w:noProof w:val="0"/>
                <w:color w:val="auto"/>
                <w:sz w:val="20"/>
                <w:szCs w:val="20"/>
              </w:rPr>
              <w:t>736 521 329</w:t>
            </w:r>
          </w:p>
        </w:tc>
        <w:tc>
          <w:tcPr>
            <w:tcW w:w="3392" w:type="dxa"/>
            <w:tcBorders>
              <w:top w:val="nil"/>
              <w:left w:val="nil"/>
              <w:bottom w:val="nil"/>
              <w:right w:val="nil"/>
            </w:tcBorders>
            <w:shd w:val="clear" w:color="auto" w:fill="CCFFFF"/>
            <w:vAlign w:val="bottom"/>
          </w:tcPr>
          <w:p w:rsidR="00F94FCD" w:rsidRDefault="00F94FCD" w:rsidP="00314080">
            <w:pPr>
              <w:spacing w:line="240" w:lineRule="auto"/>
              <w:jc w:val="left"/>
              <w:rPr>
                <w:rFonts w:ascii="Tahoma" w:hAnsi="Tahoma" w:cs="Tahoma"/>
                <w:noProof w:val="0"/>
                <w:color w:val="auto"/>
                <w:sz w:val="20"/>
                <w:szCs w:val="20"/>
              </w:rPr>
            </w:pPr>
            <w:hyperlink r:id="rId21" w:history="1">
              <w:r>
                <w:rPr>
                  <w:rFonts w:cs="Arial"/>
                  <w:noProof w:val="0"/>
                  <w:color w:val="0000FF"/>
                  <w:sz w:val="20"/>
                  <w:u w:val="single"/>
                </w:rPr>
                <w:t>hp@khsstc.cz</w:t>
              </w:r>
            </w:hyperlink>
          </w:p>
        </w:tc>
      </w:tr>
      <w:tr w:rsidR="00F94FCD" w:rsidTr="00314080">
        <w:trPr>
          <w:trHeight w:val="255"/>
        </w:trPr>
        <w:tc>
          <w:tcPr>
            <w:tcW w:w="13440" w:type="dxa"/>
            <w:gridSpan w:val="4"/>
            <w:tcBorders>
              <w:top w:val="nil"/>
              <w:left w:val="nil"/>
              <w:bottom w:val="nil"/>
              <w:right w:val="nil"/>
            </w:tcBorders>
            <w:shd w:val="clear" w:color="auto" w:fill="CCFFFF"/>
            <w:vAlign w:val="bottom"/>
          </w:tcPr>
          <w:p w:rsidR="00F94FCD" w:rsidRDefault="00F94FCD" w:rsidP="00314080">
            <w:pPr>
              <w:spacing w:line="240" w:lineRule="auto"/>
              <w:jc w:val="left"/>
              <w:rPr>
                <w:rFonts w:ascii="Tahoma" w:hAnsi="Tahoma" w:cs="Tahoma"/>
                <w:noProof w:val="0"/>
                <w:color w:val="auto"/>
                <w:sz w:val="20"/>
                <w:szCs w:val="20"/>
              </w:rPr>
            </w:pPr>
            <w:r>
              <w:rPr>
                <w:rFonts w:cs="Arial"/>
                <w:noProof w:val="0"/>
                <w:color w:val="auto"/>
                <w:sz w:val="20"/>
                <w:szCs w:val="20"/>
              </w:rPr>
              <w:t>pověřená vedením úseku pro odbornou činnost</w:t>
            </w:r>
          </w:p>
        </w:tc>
      </w:tr>
      <w:tr w:rsidR="00F94FCD" w:rsidTr="00314080">
        <w:trPr>
          <w:trHeight w:val="255"/>
        </w:trPr>
        <w:tc>
          <w:tcPr>
            <w:tcW w:w="13440" w:type="dxa"/>
            <w:gridSpan w:val="4"/>
            <w:tcBorders>
              <w:top w:val="nil"/>
              <w:left w:val="nil"/>
              <w:bottom w:val="nil"/>
              <w:right w:val="nil"/>
            </w:tcBorders>
            <w:shd w:val="clear" w:color="auto" w:fill="CCFFFF"/>
            <w:vAlign w:val="bottom"/>
          </w:tcPr>
          <w:p w:rsidR="00F94FCD" w:rsidRDefault="00F94FCD" w:rsidP="00314080">
            <w:pPr>
              <w:spacing w:line="240" w:lineRule="auto"/>
              <w:jc w:val="left"/>
              <w:rPr>
                <w:rFonts w:cs="Arial"/>
                <w:noProof w:val="0"/>
                <w:color w:val="auto"/>
                <w:sz w:val="20"/>
                <w:szCs w:val="20"/>
              </w:rPr>
            </w:pPr>
            <w:r>
              <w:rPr>
                <w:rFonts w:cs="Arial"/>
                <w:noProof w:val="0"/>
                <w:color w:val="auto"/>
                <w:sz w:val="20"/>
                <w:szCs w:val="20"/>
              </w:rPr>
              <w:t>vedoucí odboru hygieny práce</w:t>
            </w:r>
          </w:p>
        </w:tc>
      </w:tr>
      <w:tr w:rsidR="00F94FCD" w:rsidTr="00314080">
        <w:trPr>
          <w:trHeight w:val="255"/>
        </w:trPr>
        <w:tc>
          <w:tcPr>
            <w:tcW w:w="13440" w:type="dxa"/>
            <w:gridSpan w:val="4"/>
            <w:tcBorders>
              <w:top w:val="nil"/>
              <w:left w:val="nil"/>
              <w:bottom w:val="nil"/>
              <w:right w:val="nil"/>
            </w:tcBorders>
            <w:vAlign w:val="bottom"/>
          </w:tcPr>
          <w:p w:rsidR="00F94FCD" w:rsidRDefault="00F94FCD" w:rsidP="00314080">
            <w:pPr>
              <w:spacing w:line="240" w:lineRule="auto"/>
              <w:jc w:val="left"/>
              <w:rPr>
                <w:rFonts w:cs="Arial"/>
                <w:noProof w:val="0"/>
                <w:color w:val="auto"/>
                <w:sz w:val="20"/>
                <w:szCs w:val="20"/>
              </w:rPr>
            </w:pPr>
          </w:p>
        </w:tc>
      </w:tr>
      <w:tr w:rsidR="00F94FCD" w:rsidTr="00314080">
        <w:trPr>
          <w:trHeight w:val="255"/>
        </w:trPr>
        <w:tc>
          <w:tcPr>
            <w:tcW w:w="4778" w:type="dxa"/>
            <w:tcBorders>
              <w:top w:val="nil"/>
              <w:left w:val="nil"/>
              <w:bottom w:val="nil"/>
              <w:right w:val="nil"/>
            </w:tcBorders>
            <w:shd w:val="clear" w:color="auto" w:fill="CCFFFF"/>
            <w:vAlign w:val="bottom"/>
          </w:tcPr>
          <w:p w:rsidR="00F94FCD" w:rsidRDefault="00F94FCD" w:rsidP="00314080">
            <w:pPr>
              <w:spacing w:line="240" w:lineRule="auto"/>
              <w:jc w:val="left"/>
              <w:rPr>
                <w:rFonts w:ascii="Tahoma" w:hAnsi="Tahoma" w:cs="Tahoma"/>
                <w:noProof w:val="0"/>
                <w:color w:val="auto"/>
                <w:sz w:val="20"/>
                <w:szCs w:val="20"/>
              </w:rPr>
            </w:pPr>
            <w:r>
              <w:rPr>
                <w:rFonts w:ascii="Tahoma" w:hAnsi="Tahoma" w:cs="Tahoma"/>
                <w:noProof w:val="0"/>
                <w:color w:val="auto"/>
                <w:sz w:val="20"/>
                <w:szCs w:val="20"/>
              </w:rPr>
              <w:t> </w:t>
            </w:r>
            <w:r>
              <w:rPr>
                <w:rFonts w:ascii="Tahoma" w:hAnsi="Tahoma" w:cs="Tahoma"/>
                <w:b/>
                <w:bCs/>
                <w:noProof w:val="0"/>
                <w:color w:val="auto"/>
                <w:sz w:val="20"/>
                <w:szCs w:val="20"/>
              </w:rPr>
              <w:t>MUDr. Libuše Polanská</w:t>
            </w:r>
            <w:r>
              <w:rPr>
                <w:rFonts w:ascii="Tahoma" w:hAnsi="Tahoma" w:cs="Tahoma"/>
                <w:noProof w:val="0"/>
                <w:color w:val="auto"/>
                <w:sz w:val="20"/>
                <w:szCs w:val="20"/>
              </w:rPr>
              <w:t> </w:t>
            </w:r>
          </w:p>
        </w:tc>
        <w:tc>
          <w:tcPr>
            <w:tcW w:w="2635" w:type="dxa"/>
            <w:tcBorders>
              <w:top w:val="nil"/>
              <w:left w:val="nil"/>
              <w:bottom w:val="nil"/>
              <w:right w:val="nil"/>
            </w:tcBorders>
            <w:shd w:val="clear" w:color="auto" w:fill="CCFFFF"/>
            <w:vAlign w:val="bottom"/>
          </w:tcPr>
          <w:p w:rsidR="00F94FCD" w:rsidRDefault="00F94FCD" w:rsidP="00314080">
            <w:pPr>
              <w:spacing w:line="240" w:lineRule="auto"/>
              <w:jc w:val="left"/>
              <w:rPr>
                <w:rFonts w:ascii="Tahoma" w:hAnsi="Tahoma" w:cs="Tahoma"/>
                <w:noProof w:val="0"/>
                <w:color w:val="auto"/>
                <w:sz w:val="20"/>
                <w:szCs w:val="20"/>
              </w:rPr>
            </w:pPr>
            <w:r>
              <w:rPr>
                <w:rFonts w:ascii="Tahoma" w:hAnsi="Tahoma" w:cs="Tahoma"/>
                <w:noProof w:val="0"/>
                <w:color w:val="auto"/>
                <w:sz w:val="20"/>
                <w:szCs w:val="20"/>
              </w:rPr>
              <w:t> 234 118 260</w:t>
            </w:r>
          </w:p>
        </w:tc>
        <w:tc>
          <w:tcPr>
            <w:tcW w:w="2635" w:type="dxa"/>
            <w:tcBorders>
              <w:top w:val="nil"/>
              <w:left w:val="nil"/>
              <w:bottom w:val="nil"/>
              <w:right w:val="nil"/>
            </w:tcBorders>
            <w:shd w:val="clear" w:color="auto" w:fill="CCFFFF"/>
            <w:vAlign w:val="bottom"/>
          </w:tcPr>
          <w:p w:rsidR="00F94FCD" w:rsidRDefault="00F94FCD" w:rsidP="00314080">
            <w:pPr>
              <w:spacing w:line="240" w:lineRule="auto"/>
              <w:jc w:val="left"/>
              <w:rPr>
                <w:rFonts w:ascii="Tahoma" w:hAnsi="Tahoma" w:cs="Tahoma"/>
                <w:noProof w:val="0"/>
                <w:color w:val="auto"/>
                <w:sz w:val="20"/>
                <w:szCs w:val="20"/>
              </w:rPr>
            </w:pPr>
            <w:r>
              <w:rPr>
                <w:rFonts w:ascii="Tahoma" w:hAnsi="Tahoma" w:cs="Tahoma"/>
                <w:noProof w:val="0"/>
                <w:color w:val="auto"/>
                <w:sz w:val="20"/>
                <w:szCs w:val="20"/>
              </w:rPr>
              <w:t>736 521 305</w:t>
            </w:r>
          </w:p>
        </w:tc>
        <w:tc>
          <w:tcPr>
            <w:tcW w:w="3392" w:type="dxa"/>
            <w:tcBorders>
              <w:top w:val="nil"/>
              <w:left w:val="nil"/>
              <w:bottom w:val="nil"/>
              <w:right w:val="nil"/>
            </w:tcBorders>
            <w:shd w:val="clear" w:color="auto" w:fill="CCFFFF"/>
            <w:vAlign w:val="bottom"/>
          </w:tcPr>
          <w:p w:rsidR="00F94FCD" w:rsidRDefault="00F94FCD" w:rsidP="00314080">
            <w:pPr>
              <w:spacing w:line="240" w:lineRule="auto"/>
              <w:jc w:val="left"/>
              <w:rPr>
                <w:rFonts w:cs="Arial"/>
                <w:noProof w:val="0"/>
                <w:color w:val="0000FF"/>
                <w:sz w:val="20"/>
                <w:szCs w:val="20"/>
                <w:u w:val="single"/>
              </w:rPr>
            </w:pPr>
            <w:hyperlink r:id="rId22" w:history="1">
              <w:r>
                <w:rPr>
                  <w:rFonts w:cs="Arial"/>
                  <w:noProof w:val="0"/>
                  <w:color w:val="0000FF"/>
                  <w:sz w:val="20"/>
                  <w:u w:val="single"/>
                </w:rPr>
                <w:t>hok@khsstc.cz</w:t>
              </w:r>
            </w:hyperlink>
          </w:p>
        </w:tc>
      </w:tr>
      <w:tr w:rsidR="00F94FCD" w:rsidTr="00314080">
        <w:trPr>
          <w:trHeight w:val="255"/>
        </w:trPr>
        <w:tc>
          <w:tcPr>
            <w:tcW w:w="13440" w:type="dxa"/>
            <w:gridSpan w:val="4"/>
            <w:tcBorders>
              <w:top w:val="nil"/>
              <w:left w:val="nil"/>
              <w:bottom w:val="nil"/>
              <w:right w:val="nil"/>
            </w:tcBorders>
            <w:shd w:val="clear" w:color="auto" w:fill="CCFFFF"/>
            <w:vAlign w:val="bottom"/>
          </w:tcPr>
          <w:p w:rsidR="00F94FCD" w:rsidRDefault="00F94FCD" w:rsidP="00314080">
            <w:pPr>
              <w:spacing w:line="240" w:lineRule="auto"/>
              <w:jc w:val="left"/>
              <w:rPr>
                <w:rFonts w:ascii="Tahoma" w:hAnsi="Tahoma" w:cs="Tahoma"/>
                <w:noProof w:val="0"/>
                <w:color w:val="auto"/>
                <w:sz w:val="20"/>
                <w:szCs w:val="20"/>
              </w:rPr>
            </w:pPr>
            <w:r>
              <w:rPr>
                <w:rFonts w:ascii="Tahoma" w:hAnsi="Tahoma" w:cs="Tahoma"/>
                <w:noProof w:val="0"/>
                <w:color w:val="auto"/>
                <w:sz w:val="20"/>
                <w:szCs w:val="20"/>
              </w:rPr>
              <w:t> vedoucí odboru hygieny obecné a komunální </w:t>
            </w:r>
          </w:p>
        </w:tc>
      </w:tr>
      <w:tr w:rsidR="00F94FCD" w:rsidTr="00314080">
        <w:trPr>
          <w:trHeight w:val="255"/>
        </w:trPr>
        <w:tc>
          <w:tcPr>
            <w:tcW w:w="13440" w:type="dxa"/>
            <w:gridSpan w:val="4"/>
            <w:tcBorders>
              <w:top w:val="nil"/>
              <w:left w:val="nil"/>
              <w:bottom w:val="nil"/>
              <w:right w:val="nil"/>
            </w:tcBorders>
            <w:vAlign w:val="bottom"/>
          </w:tcPr>
          <w:p w:rsidR="00F94FCD" w:rsidRDefault="00F94FCD" w:rsidP="00314080">
            <w:pPr>
              <w:spacing w:line="240" w:lineRule="auto"/>
              <w:jc w:val="center"/>
              <w:rPr>
                <w:rFonts w:ascii="Tahoma" w:hAnsi="Tahoma" w:cs="Tahoma"/>
                <w:noProof w:val="0"/>
                <w:color w:val="auto"/>
                <w:sz w:val="20"/>
                <w:szCs w:val="20"/>
              </w:rPr>
            </w:pPr>
          </w:p>
        </w:tc>
      </w:tr>
      <w:tr w:rsidR="00F94FCD" w:rsidTr="00314080">
        <w:trPr>
          <w:trHeight w:val="255"/>
        </w:trPr>
        <w:tc>
          <w:tcPr>
            <w:tcW w:w="4778" w:type="dxa"/>
            <w:tcBorders>
              <w:top w:val="nil"/>
              <w:left w:val="nil"/>
              <w:bottom w:val="nil"/>
              <w:right w:val="nil"/>
            </w:tcBorders>
            <w:shd w:val="clear" w:color="auto" w:fill="CCFFFF"/>
            <w:vAlign w:val="bottom"/>
          </w:tcPr>
          <w:p w:rsidR="00F94FCD" w:rsidRDefault="00F94FCD" w:rsidP="00314080">
            <w:pPr>
              <w:spacing w:line="240" w:lineRule="auto"/>
              <w:jc w:val="left"/>
              <w:rPr>
                <w:rFonts w:ascii="Tahoma" w:hAnsi="Tahoma" w:cs="Tahoma"/>
                <w:noProof w:val="0"/>
                <w:color w:val="auto"/>
                <w:sz w:val="20"/>
                <w:szCs w:val="20"/>
              </w:rPr>
            </w:pPr>
            <w:r>
              <w:rPr>
                <w:rFonts w:ascii="Tahoma" w:hAnsi="Tahoma" w:cs="Tahoma"/>
                <w:noProof w:val="0"/>
                <w:color w:val="auto"/>
                <w:sz w:val="20"/>
                <w:szCs w:val="20"/>
              </w:rPr>
              <w:t> </w:t>
            </w:r>
            <w:r>
              <w:rPr>
                <w:rFonts w:ascii="Tahoma" w:hAnsi="Tahoma" w:cs="Tahoma"/>
                <w:b/>
                <w:bCs/>
                <w:noProof w:val="0"/>
                <w:color w:val="auto"/>
                <w:sz w:val="20"/>
                <w:szCs w:val="20"/>
              </w:rPr>
              <w:t>MUDr. Lilian Rumlová</w:t>
            </w:r>
          </w:p>
        </w:tc>
        <w:tc>
          <w:tcPr>
            <w:tcW w:w="2635" w:type="dxa"/>
            <w:tcBorders>
              <w:top w:val="nil"/>
              <w:left w:val="nil"/>
              <w:bottom w:val="nil"/>
              <w:right w:val="nil"/>
            </w:tcBorders>
            <w:shd w:val="clear" w:color="auto" w:fill="CCFFFF"/>
            <w:vAlign w:val="bottom"/>
          </w:tcPr>
          <w:p w:rsidR="00F94FCD" w:rsidRDefault="00F94FCD" w:rsidP="00314080">
            <w:pPr>
              <w:spacing w:line="240" w:lineRule="auto"/>
              <w:jc w:val="left"/>
              <w:rPr>
                <w:rFonts w:ascii="Tahoma" w:hAnsi="Tahoma" w:cs="Tahoma"/>
                <w:noProof w:val="0"/>
                <w:color w:val="auto"/>
                <w:sz w:val="20"/>
                <w:szCs w:val="20"/>
              </w:rPr>
            </w:pPr>
            <w:r>
              <w:rPr>
                <w:rFonts w:ascii="Tahoma" w:hAnsi="Tahoma" w:cs="Tahoma"/>
                <w:noProof w:val="0"/>
                <w:color w:val="auto"/>
                <w:sz w:val="20"/>
                <w:szCs w:val="20"/>
              </w:rPr>
              <w:t> 234 118 257 </w:t>
            </w:r>
          </w:p>
        </w:tc>
        <w:tc>
          <w:tcPr>
            <w:tcW w:w="2635" w:type="dxa"/>
            <w:tcBorders>
              <w:top w:val="nil"/>
              <w:left w:val="nil"/>
              <w:bottom w:val="nil"/>
              <w:right w:val="nil"/>
            </w:tcBorders>
            <w:shd w:val="clear" w:color="auto" w:fill="CCFFFF"/>
            <w:vAlign w:val="bottom"/>
          </w:tcPr>
          <w:p w:rsidR="00F94FCD" w:rsidRDefault="00F94FCD" w:rsidP="00314080">
            <w:pPr>
              <w:spacing w:line="240" w:lineRule="auto"/>
              <w:jc w:val="left"/>
              <w:rPr>
                <w:rFonts w:ascii="Tahoma" w:hAnsi="Tahoma" w:cs="Tahoma"/>
                <w:noProof w:val="0"/>
                <w:color w:val="auto"/>
                <w:sz w:val="20"/>
                <w:szCs w:val="20"/>
              </w:rPr>
            </w:pPr>
            <w:r>
              <w:rPr>
                <w:rFonts w:ascii="Tahoma" w:hAnsi="Tahoma" w:cs="Tahoma"/>
                <w:noProof w:val="0"/>
                <w:color w:val="auto"/>
                <w:sz w:val="20"/>
                <w:szCs w:val="20"/>
              </w:rPr>
              <w:t>736 521 410</w:t>
            </w:r>
          </w:p>
        </w:tc>
        <w:tc>
          <w:tcPr>
            <w:tcW w:w="3392" w:type="dxa"/>
            <w:tcBorders>
              <w:top w:val="nil"/>
              <w:left w:val="nil"/>
              <w:bottom w:val="nil"/>
              <w:right w:val="nil"/>
            </w:tcBorders>
            <w:shd w:val="clear" w:color="auto" w:fill="CCFFFF"/>
            <w:vAlign w:val="bottom"/>
          </w:tcPr>
          <w:p w:rsidR="00F94FCD" w:rsidRDefault="00F94FCD" w:rsidP="00314080">
            <w:pPr>
              <w:spacing w:line="240" w:lineRule="auto"/>
              <w:jc w:val="left"/>
              <w:rPr>
                <w:rFonts w:cs="Arial"/>
                <w:noProof w:val="0"/>
                <w:color w:val="0000FF"/>
                <w:sz w:val="20"/>
                <w:szCs w:val="20"/>
                <w:u w:val="single"/>
              </w:rPr>
            </w:pPr>
            <w:hyperlink r:id="rId23" w:history="1">
              <w:r>
                <w:rPr>
                  <w:rFonts w:cs="Arial"/>
                  <w:noProof w:val="0"/>
                  <w:color w:val="0000FF"/>
                  <w:sz w:val="20"/>
                  <w:u w:val="single"/>
                </w:rPr>
                <w:t>epid@khsstc.cz</w:t>
              </w:r>
            </w:hyperlink>
          </w:p>
        </w:tc>
      </w:tr>
      <w:tr w:rsidR="00F94FCD" w:rsidTr="00314080">
        <w:trPr>
          <w:trHeight w:val="255"/>
        </w:trPr>
        <w:tc>
          <w:tcPr>
            <w:tcW w:w="13440" w:type="dxa"/>
            <w:gridSpan w:val="4"/>
            <w:tcBorders>
              <w:top w:val="nil"/>
              <w:left w:val="nil"/>
              <w:bottom w:val="nil"/>
              <w:right w:val="nil"/>
            </w:tcBorders>
            <w:shd w:val="clear" w:color="auto" w:fill="CCFFFF"/>
            <w:vAlign w:val="bottom"/>
          </w:tcPr>
          <w:p w:rsidR="00F94FCD" w:rsidRDefault="00F94FCD" w:rsidP="00314080">
            <w:pPr>
              <w:spacing w:line="240" w:lineRule="auto"/>
              <w:jc w:val="left"/>
              <w:rPr>
                <w:rFonts w:ascii="Tahoma" w:hAnsi="Tahoma" w:cs="Tahoma"/>
                <w:noProof w:val="0"/>
                <w:color w:val="auto"/>
                <w:sz w:val="20"/>
                <w:szCs w:val="20"/>
              </w:rPr>
            </w:pPr>
            <w:r>
              <w:rPr>
                <w:rFonts w:ascii="Tahoma" w:hAnsi="Tahoma" w:cs="Tahoma"/>
                <w:noProof w:val="0"/>
                <w:color w:val="auto"/>
                <w:sz w:val="20"/>
                <w:szCs w:val="20"/>
              </w:rPr>
              <w:t> vedoucí protiepidemického odboru </w:t>
            </w:r>
          </w:p>
        </w:tc>
      </w:tr>
      <w:tr w:rsidR="00F94FCD" w:rsidTr="00314080">
        <w:trPr>
          <w:trHeight w:val="255"/>
        </w:trPr>
        <w:tc>
          <w:tcPr>
            <w:tcW w:w="13440" w:type="dxa"/>
            <w:gridSpan w:val="4"/>
            <w:tcBorders>
              <w:top w:val="nil"/>
              <w:left w:val="nil"/>
              <w:bottom w:val="nil"/>
              <w:right w:val="nil"/>
            </w:tcBorders>
            <w:vAlign w:val="bottom"/>
          </w:tcPr>
          <w:p w:rsidR="00F94FCD" w:rsidRDefault="00F94FCD" w:rsidP="00314080">
            <w:pPr>
              <w:spacing w:line="240" w:lineRule="auto"/>
              <w:jc w:val="center"/>
              <w:rPr>
                <w:rFonts w:ascii="Tahoma" w:hAnsi="Tahoma" w:cs="Tahoma"/>
                <w:noProof w:val="0"/>
                <w:color w:val="auto"/>
                <w:sz w:val="20"/>
                <w:szCs w:val="20"/>
              </w:rPr>
            </w:pPr>
          </w:p>
        </w:tc>
      </w:tr>
      <w:tr w:rsidR="00F94FCD" w:rsidTr="00314080">
        <w:trPr>
          <w:trHeight w:val="255"/>
        </w:trPr>
        <w:tc>
          <w:tcPr>
            <w:tcW w:w="4778" w:type="dxa"/>
            <w:tcBorders>
              <w:top w:val="nil"/>
              <w:left w:val="nil"/>
              <w:bottom w:val="nil"/>
              <w:right w:val="nil"/>
            </w:tcBorders>
            <w:shd w:val="clear" w:color="auto" w:fill="CCFFFF"/>
            <w:vAlign w:val="bottom"/>
          </w:tcPr>
          <w:p w:rsidR="00F94FCD" w:rsidRDefault="00F94FCD" w:rsidP="00314080">
            <w:pPr>
              <w:spacing w:line="240" w:lineRule="auto"/>
              <w:jc w:val="left"/>
              <w:rPr>
                <w:rFonts w:ascii="Tahoma" w:hAnsi="Tahoma" w:cs="Tahoma"/>
                <w:noProof w:val="0"/>
                <w:color w:val="auto"/>
                <w:sz w:val="20"/>
                <w:szCs w:val="20"/>
              </w:rPr>
            </w:pPr>
            <w:r>
              <w:rPr>
                <w:rFonts w:ascii="Tahoma" w:hAnsi="Tahoma" w:cs="Tahoma"/>
                <w:noProof w:val="0"/>
                <w:color w:val="auto"/>
                <w:sz w:val="20"/>
                <w:szCs w:val="20"/>
              </w:rPr>
              <w:t> </w:t>
            </w:r>
            <w:r>
              <w:rPr>
                <w:rFonts w:ascii="Tahoma" w:hAnsi="Tahoma" w:cs="Tahoma"/>
                <w:b/>
                <w:bCs/>
                <w:noProof w:val="0"/>
                <w:color w:val="auto"/>
                <w:sz w:val="20"/>
                <w:szCs w:val="20"/>
              </w:rPr>
              <w:t>Ing. Josef Hrdina, MBA</w:t>
            </w:r>
            <w:r>
              <w:rPr>
                <w:rFonts w:ascii="Tahoma" w:hAnsi="Tahoma" w:cs="Tahoma"/>
                <w:noProof w:val="0"/>
                <w:color w:val="auto"/>
                <w:sz w:val="20"/>
                <w:szCs w:val="20"/>
              </w:rPr>
              <w:t> </w:t>
            </w:r>
          </w:p>
        </w:tc>
        <w:tc>
          <w:tcPr>
            <w:tcW w:w="2635" w:type="dxa"/>
            <w:tcBorders>
              <w:top w:val="nil"/>
              <w:left w:val="nil"/>
              <w:bottom w:val="nil"/>
              <w:right w:val="nil"/>
            </w:tcBorders>
            <w:shd w:val="clear" w:color="auto" w:fill="CCFFFF"/>
            <w:vAlign w:val="bottom"/>
          </w:tcPr>
          <w:p w:rsidR="00F94FCD" w:rsidRDefault="00F94FCD" w:rsidP="00314080">
            <w:pPr>
              <w:spacing w:line="240" w:lineRule="auto"/>
              <w:jc w:val="left"/>
              <w:rPr>
                <w:rFonts w:ascii="Tahoma" w:hAnsi="Tahoma" w:cs="Tahoma"/>
                <w:noProof w:val="0"/>
                <w:color w:val="auto"/>
                <w:sz w:val="20"/>
                <w:szCs w:val="20"/>
              </w:rPr>
            </w:pPr>
            <w:r>
              <w:rPr>
                <w:rFonts w:ascii="Tahoma" w:hAnsi="Tahoma" w:cs="Tahoma"/>
                <w:noProof w:val="0"/>
                <w:color w:val="auto"/>
                <w:sz w:val="20"/>
                <w:szCs w:val="20"/>
              </w:rPr>
              <w:t> 234 118 229 </w:t>
            </w:r>
          </w:p>
        </w:tc>
        <w:tc>
          <w:tcPr>
            <w:tcW w:w="2635" w:type="dxa"/>
            <w:tcBorders>
              <w:top w:val="nil"/>
              <w:left w:val="nil"/>
              <w:bottom w:val="nil"/>
              <w:right w:val="nil"/>
            </w:tcBorders>
            <w:shd w:val="clear" w:color="auto" w:fill="CCFFFF"/>
            <w:vAlign w:val="bottom"/>
          </w:tcPr>
          <w:p w:rsidR="00F94FCD" w:rsidRDefault="00F94FCD" w:rsidP="00314080">
            <w:pPr>
              <w:spacing w:line="240" w:lineRule="auto"/>
              <w:jc w:val="left"/>
              <w:rPr>
                <w:rFonts w:ascii="Tahoma" w:hAnsi="Tahoma" w:cs="Tahoma"/>
                <w:noProof w:val="0"/>
                <w:color w:val="auto"/>
                <w:sz w:val="20"/>
                <w:szCs w:val="20"/>
              </w:rPr>
            </w:pPr>
            <w:r>
              <w:rPr>
                <w:rFonts w:ascii="Tahoma" w:hAnsi="Tahoma" w:cs="Tahoma"/>
                <w:noProof w:val="0"/>
                <w:color w:val="auto"/>
                <w:sz w:val="20"/>
                <w:szCs w:val="20"/>
              </w:rPr>
              <w:t>736 521 309</w:t>
            </w:r>
          </w:p>
        </w:tc>
        <w:tc>
          <w:tcPr>
            <w:tcW w:w="3392" w:type="dxa"/>
            <w:tcBorders>
              <w:top w:val="nil"/>
              <w:left w:val="nil"/>
              <w:bottom w:val="nil"/>
              <w:right w:val="nil"/>
            </w:tcBorders>
            <w:shd w:val="clear" w:color="auto" w:fill="CCFFFF"/>
            <w:vAlign w:val="bottom"/>
          </w:tcPr>
          <w:p w:rsidR="00F94FCD" w:rsidRDefault="00F94FCD" w:rsidP="00314080">
            <w:pPr>
              <w:spacing w:line="240" w:lineRule="auto"/>
              <w:jc w:val="left"/>
              <w:rPr>
                <w:rFonts w:cs="Arial"/>
                <w:noProof w:val="0"/>
                <w:color w:val="0000FF"/>
                <w:sz w:val="20"/>
                <w:szCs w:val="20"/>
                <w:u w:val="single"/>
              </w:rPr>
            </w:pPr>
            <w:hyperlink r:id="rId24" w:history="1">
              <w:r>
                <w:rPr>
                  <w:rFonts w:cs="Arial"/>
                  <w:noProof w:val="0"/>
                  <w:color w:val="0000FF"/>
                  <w:sz w:val="20"/>
                  <w:u w:val="single"/>
                </w:rPr>
                <w:t>hv@khsstc.cz</w:t>
              </w:r>
            </w:hyperlink>
          </w:p>
        </w:tc>
      </w:tr>
      <w:tr w:rsidR="00F94FCD" w:rsidTr="00314080">
        <w:trPr>
          <w:trHeight w:val="255"/>
        </w:trPr>
        <w:tc>
          <w:tcPr>
            <w:tcW w:w="13440" w:type="dxa"/>
            <w:gridSpan w:val="4"/>
            <w:tcBorders>
              <w:top w:val="nil"/>
              <w:left w:val="nil"/>
              <w:bottom w:val="nil"/>
              <w:right w:val="nil"/>
            </w:tcBorders>
            <w:shd w:val="clear" w:color="auto" w:fill="CCFFFF"/>
            <w:vAlign w:val="bottom"/>
          </w:tcPr>
          <w:p w:rsidR="00F94FCD" w:rsidRDefault="00F94FCD" w:rsidP="00314080">
            <w:pPr>
              <w:spacing w:line="240" w:lineRule="auto"/>
              <w:jc w:val="left"/>
              <w:rPr>
                <w:rFonts w:ascii="Tahoma" w:hAnsi="Tahoma" w:cs="Tahoma"/>
                <w:noProof w:val="0"/>
                <w:color w:val="auto"/>
                <w:sz w:val="20"/>
                <w:szCs w:val="20"/>
              </w:rPr>
            </w:pPr>
            <w:r>
              <w:rPr>
                <w:rFonts w:ascii="Tahoma" w:hAnsi="Tahoma" w:cs="Tahoma"/>
                <w:noProof w:val="0"/>
                <w:color w:val="auto"/>
                <w:sz w:val="20"/>
                <w:szCs w:val="20"/>
              </w:rPr>
              <w:t> vedoucí odboru hygieny výživy a předmětů běžného užívání </w:t>
            </w:r>
          </w:p>
        </w:tc>
      </w:tr>
      <w:tr w:rsidR="00F94FCD" w:rsidTr="00314080">
        <w:trPr>
          <w:trHeight w:val="255"/>
        </w:trPr>
        <w:tc>
          <w:tcPr>
            <w:tcW w:w="13440" w:type="dxa"/>
            <w:gridSpan w:val="4"/>
            <w:tcBorders>
              <w:top w:val="nil"/>
              <w:left w:val="nil"/>
              <w:bottom w:val="nil"/>
              <w:right w:val="nil"/>
            </w:tcBorders>
            <w:vAlign w:val="bottom"/>
          </w:tcPr>
          <w:p w:rsidR="00F94FCD" w:rsidRDefault="00F94FCD" w:rsidP="00314080">
            <w:pPr>
              <w:spacing w:line="240" w:lineRule="auto"/>
              <w:jc w:val="center"/>
              <w:rPr>
                <w:rFonts w:ascii="Tahoma" w:hAnsi="Tahoma" w:cs="Tahoma"/>
                <w:noProof w:val="0"/>
                <w:color w:val="auto"/>
                <w:sz w:val="20"/>
                <w:szCs w:val="20"/>
              </w:rPr>
            </w:pPr>
          </w:p>
        </w:tc>
      </w:tr>
      <w:tr w:rsidR="00F94FCD" w:rsidTr="00314080">
        <w:trPr>
          <w:trHeight w:val="255"/>
        </w:trPr>
        <w:tc>
          <w:tcPr>
            <w:tcW w:w="4778" w:type="dxa"/>
            <w:tcBorders>
              <w:top w:val="nil"/>
              <w:left w:val="nil"/>
              <w:bottom w:val="nil"/>
              <w:right w:val="nil"/>
            </w:tcBorders>
            <w:shd w:val="clear" w:color="auto" w:fill="CCFFFF"/>
            <w:vAlign w:val="bottom"/>
          </w:tcPr>
          <w:p w:rsidR="00F94FCD" w:rsidRDefault="00F94FCD" w:rsidP="00314080">
            <w:pPr>
              <w:spacing w:line="240" w:lineRule="auto"/>
              <w:jc w:val="left"/>
              <w:rPr>
                <w:rFonts w:ascii="Tahoma" w:hAnsi="Tahoma" w:cs="Tahoma"/>
                <w:noProof w:val="0"/>
                <w:color w:val="auto"/>
                <w:sz w:val="20"/>
                <w:szCs w:val="20"/>
              </w:rPr>
            </w:pPr>
            <w:r>
              <w:rPr>
                <w:rFonts w:ascii="Tahoma" w:hAnsi="Tahoma" w:cs="Tahoma"/>
                <w:noProof w:val="0"/>
                <w:color w:val="auto"/>
                <w:sz w:val="20"/>
                <w:szCs w:val="20"/>
              </w:rPr>
              <w:t> </w:t>
            </w:r>
            <w:r>
              <w:rPr>
                <w:rFonts w:ascii="Tahoma" w:hAnsi="Tahoma" w:cs="Tahoma"/>
                <w:b/>
                <w:bCs/>
                <w:noProof w:val="0"/>
                <w:color w:val="auto"/>
                <w:sz w:val="20"/>
                <w:szCs w:val="20"/>
              </w:rPr>
              <w:t xml:space="preserve">Mgr. Jana </w:t>
            </w:r>
            <w:proofErr w:type="spellStart"/>
            <w:r>
              <w:rPr>
                <w:rFonts w:ascii="Tahoma" w:hAnsi="Tahoma" w:cs="Tahoma"/>
                <w:b/>
                <w:bCs/>
                <w:noProof w:val="0"/>
                <w:color w:val="auto"/>
                <w:sz w:val="20"/>
                <w:szCs w:val="20"/>
              </w:rPr>
              <w:t>Tomicová</w:t>
            </w:r>
            <w:proofErr w:type="spellEnd"/>
          </w:p>
        </w:tc>
        <w:tc>
          <w:tcPr>
            <w:tcW w:w="2635" w:type="dxa"/>
            <w:tcBorders>
              <w:top w:val="nil"/>
              <w:left w:val="nil"/>
              <w:bottom w:val="nil"/>
              <w:right w:val="nil"/>
            </w:tcBorders>
            <w:shd w:val="clear" w:color="auto" w:fill="CCFFFF"/>
            <w:vAlign w:val="bottom"/>
          </w:tcPr>
          <w:p w:rsidR="00F94FCD" w:rsidRDefault="00F94FCD" w:rsidP="00314080">
            <w:pPr>
              <w:spacing w:line="240" w:lineRule="auto"/>
              <w:jc w:val="left"/>
              <w:rPr>
                <w:rFonts w:ascii="Tahoma" w:hAnsi="Tahoma" w:cs="Tahoma"/>
                <w:noProof w:val="0"/>
                <w:color w:val="auto"/>
                <w:sz w:val="20"/>
                <w:szCs w:val="20"/>
              </w:rPr>
            </w:pPr>
            <w:r>
              <w:rPr>
                <w:rFonts w:ascii="Tahoma" w:hAnsi="Tahoma" w:cs="Tahoma"/>
                <w:noProof w:val="0"/>
                <w:color w:val="auto"/>
                <w:sz w:val="20"/>
                <w:szCs w:val="20"/>
              </w:rPr>
              <w:t>325 531 034</w:t>
            </w:r>
          </w:p>
        </w:tc>
        <w:tc>
          <w:tcPr>
            <w:tcW w:w="2635" w:type="dxa"/>
            <w:tcBorders>
              <w:top w:val="nil"/>
              <w:left w:val="nil"/>
              <w:bottom w:val="nil"/>
              <w:right w:val="nil"/>
            </w:tcBorders>
            <w:shd w:val="clear" w:color="auto" w:fill="CCFFFF"/>
            <w:vAlign w:val="bottom"/>
          </w:tcPr>
          <w:p w:rsidR="00F94FCD" w:rsidRDefault="00F94FCD" w:rsidP="00314080">
            <w:pPr>
              <w:spacing w:line="240" w:lineRule="auto"/>
              <w:jc w:val="left"/>
              <w:rPr>
                <w:rFonts w:ascii="Tahoma" w:hAnsi="Tahoma" w:cs="Tahoma"/>
                <w:noProof w:val="0"/>
                <w:color w:val="auto"/>
                <w:sz w:val="20"/>
                <w:szCs w:val="20"/>
              </w:rPr>
            </w:pPr>
            <w:r>
              <w:rPr>
                <w:rFonts w:ascii="Tahoma" w:hAnsi="Tahoma" w:cs="Tahoma"/>
                <w:noProof w:val="0"/>
                <w:color w:val="auto"/>
                <w:sz w:val="20"/>
                <w:szCs w:val="20"/>
              </w:rPr>
              <w:t>736 521 391</w:t>
            </w:r>
          </w:p>
        </w:tc>
        <w:tc>
          <w:tcPr>
            <w:tcW w:w="3392" w:type="dxa"/>
            <w:tcBorders>
              <w:top w:val="nil"/>
              <w:left w:val="nil"/>
              <w:bottom w:val="nil"/>
              <w:right w:val="nil"/>
            </w:tcBorders>
            <w:shd w:val="clear" w:color="auto" w:fill="CCFFFF"/>
            <w:vAlign w:val="bottom"/>
          </w:tcPr>
          <w:p w:rsidR="00F94FCD" w:rsidRDefault="00F94FCD" w:rsidP="00314080">
            <w:pPr>
              <w:spacing w:line="240" w:lineRule="auto"/>
              <w:jc w:val="left"/>
              <w:rPr>
                <w:rFonts w:cs="Arial"/>
                <w:noProof w:val="0"/>
                <w:color w:val="0000FF"/>
                <w:sz w:val="20"/>
                <w:szCs w:val="20"/>
                <w:u w:val="single"/>
              </w:rPr>
            </w:pPr>
            <w:hyperlink r:id="rId25" w:history="1">
              <w:r>
                <w:rPr>
                  <w:rFonts w:cs="Arial"/>
                  <w:noProof w:val="0"/>
                  <w:color w:val="0000FF"/>
                  <w:sz w:val="20"/>
                  <w:u w:val="single"/>
                </w:rPr>
                <w:t>hdm@khsstc.cz</w:t>
              </w:r>
            </w:hyperlink>
          </w:p>
        </w:tc>
      </w:tr>
      <w:tr w:rsidR="00F94FCD" w:rsidTr="00314080">
        <w:trPr>
          <w:trHeight w:val="255"/>
        </w:trPr>
        <w:tc>
          <w:tcPr>
            <w:tcW w:w="4778" w:type="dxa"/>
            <w:tcBorders>
              <w:top w:val="nil"/>
              <w:left w:val="nil"/>
              <w:bottom w:val="nil"/>
              <w:right w:val="nil"/>
            </w:tcBorders>
            <w:shd w:val="clear" w:color="auto" w:fill="CCFFFF"/>
            <w:noWrap/>
            <w:vAlign w:val="bottom"/>
          </w:tcPr>
          <w:p w:rsidR="00F94FCD" w:rsidRDefault="00F94FCD" w:rsidP="00314080">
            <w:pPr>
              <w:spacing w:line="240" w:lineRule="auto"/>
              <w:jc w:val="left"/>
              <w:rPr>
                <w:rFonts w:cs="Arial"/>
                <w:noProof w:val="0"/>
                <w:color w:val="auto"/>
                <w:sz w:val="20"/>
                <w:szCs w:val="20"/>
              </w:rPr>
            </w:pPr>
            <w:r>
              <w:rPr>
                <w:rFonts w:cs="Arial"/>
                <w:noProof w:val="0"/>
                <w:color w:val="auto"/>
                <w:sz w:val="20"/>
                <w:szCs w:val="20"/>
              </w:rPr>
              <w:t xml:space="preserve"> vedoucí odboru hygieny dětí a mladistvých </w:t>
            </w:r>
          </w:p>
        </w:tc>
        <w:tc>
          <w:tcPr>
            <w:tcW w:w="2635" w:type="dxa"/>
            <w:tcBorders>
              <w:top w:val="nil"/>
              <w:left w:val="nil"/>
              <w:bottom w:val="nil"/>
              <w:right w:val="nil"/>
            </w:tcBorders>
            <w:shd w:val="clear" w:color="auto" w:fill="CCFFFF"/>
            <w:noWrap/>
            <w:vAlign w:val="bottom"/>
          </w:tcPr>
          <w:p w:rsidR="00F94FCD" w:rsidRDefault="00F94FCD" w:rsidP="00314080">
            <w:pPr>
              <w:spacing w:line="240" w:lineRule="auto"/>
              <w:jc w:val="left"/>
              <w:rPr>
                <w:rFonts w:cs="Arial"/>
                <w:noProof w:val="0"/>
                <w:color w:val="auto"/>
                <w:sz w:val="20"/>
                <w:szCs w:val="20"/>
              </w:rPr>
            </w:pPr>
            <w:r>
              <w:rPr>
                <w:rFonts w:cs="Arial"/>
                <w:noProof w:val="0"/>
                <w:color w:val="auto"/>
                <w:sz w:val="20"/>
                <w:szCs w:val="20"/>
              </w:rPr>
              <w:t> </w:t>
            </w:r>
          </w:p>
        </w:tc>
        <w:tc>
          <w:tcPr>
            <w:tcW w:w="2635" w:type="dxa"/>
            <w:tcBorders>
              <w:top w:val="nil"/>
              <w:left w:val="nil"/>
              <w:bottom w:val="nil"/>
              <w:right w:val="nil"/>
            </w:tcBorders>
            <w:shd w:val="clear" w:color="auto" w:fill="CCFFFF"/>
            <w:noWrap/>
            <w:vAlign w:val="bottom"/>
          </w:tcPr>
          <w:p w:rsidR="00F94FCD" w:rsidRDefault="00F94FCD" w:rsidP="00314080">
            <w:pPr>
              <w:spacing w:line="240" w:lineRule="auto"/>
              <w:jc w:val="left"/>
              <w:rPr>
                <w:rFonts w:cs="Arial"/>
                <w:noProof w:val="0"/>
                <w:color w:val="auto"/>
                <w:sz w:val="20"/>
                <w:szCs w:val="20"/>
              </w:rPr>
            </w:pPr>
            <w:r>
              <w:rPr>
                <w:rFonts w:cs="Arial"/>
                <w:noProof w:val="0"/>
                <w:color w:val="auto"/>
                <w:sz w:val="20"/>
                <w:szCs w:val="20"/>
              </w:rPr>
              <w:t> </w:t>
            </w:r>
          </w:p>
        </w:tc>
        <w:tc>
          <w:tcPr>
            <w:tcW w:w="3392" w:type="dxa"/>
            <w:tcBorders>
              <w:top w:val="nil"/>
              <w:left w:val="nil"/>
              <w:bottom w:val="nil"/>
              <w:right w:val="nil"/>
            </w:tcBorders>
            <w:shd w:val="clear" w:color="auto" w:fill="CCFFFF"/>
            <w:noWrap/>
            <w:vAlign w:val="bottom"/>
          </w:tcPr>
          <w:p w:rsidR="00F94FCD" w:rsidRDefault="00F94FCD" w:rsidP="00314080">
            <w:pPr>
              <w:spacing w:line="240" w:lineRule="auto"/>
              <w:jc w:val="left"/>
              <w:rPr>
                <w:rFonts w:cs="Arial"/>
                <w:noProof w:val="0"/>
                <w:color w:val="auto"/>
                <w:sz w:val="20"/>
                <w:szCs w:val="20"/>
              </w:rPr>
            </w:pPr>
            <w:r>
              <w:rPr>
                <w:rFonts w:cs="Arial"/>
                <w:noProof w:val="0"/>
                <w:color w:val="auto"/>
                <w:sz w:val="20"/>
                <w:szCs w:val="20"/>
              </w:rPr>
              <w:t> </w:t>
            </w:r>
          </w:p>
        </w:tc>
      </w:tr>
    </w:tbl>
    <w:p w:rsidR="00F94FCD" w:rsidRDefault="00F94FCD" w:rsidP="00F94FCD">
      <w:pPr>
        <w:spacing w:before="120"/>
        <w:jc w:val="left"/>
        <w:rPr>
          <w:rFonts w:cs="Arial"/>
          <w:color w:val="auto"/>
          <w:szCs w:val="22"/>
        </w:rPr>
      </w:pPr>
    </w:p>
    <w:p w:rsidR="00F94FCD" w:rsidRDefault="00F94FCD" w:rsidP="00F94FCD">
      <w:pPr>
        <w:spacing w:before="120"/>
        <w:jc w:val="left"/>
        <w:rPr>
          <w:rFonts w:cs="Arial"/>
          <w:color w:val="auto"/>
          <w:szCs w:val="22"/>
        </w:rPr>
        <w:sectPr w:rsidR="00F94FCD">
          <w:pgSz w:w="16838" w:h="11906" w:orient="landscape" w:code="9"/>
          <w:pgMar w:top="868" w:right="1928" w:bottom="851" w:left="1440" w:header="1077" w:footer="663" w:gutter="0"/>
          <w:cols w:space="708"/>
          <w:docGrid w:linePitch="360"/>
        </w:sectPr>
      </w:pPr>
    </w:p>
    <w:p w:rsidR="00F94FCD" w:rsidRDefault="00F94FCD" w:rsidP="00F94FCD">
      <w:pPr>
        <w:spacing w:before="120"/>
        <w:jc w:val="left"/>
        <w:rPr>
          <w:rFonts w:cs="Arial"/>
          <w:b/>
          <w:color w:val="auto"/>
          <w:szCs w:val="22"/>
        </w:rPr>
      </w:pPr>
      <w:r>
        <w:rPr>
          <w:rFonts w:cs="Arial"/>
          <w:b/>
          <w:color w:val="auto"/>
          <w:szCs w:val="22"/>
        </w:rPr>
        <w:lastRenderedPageBreak/>
        <w:t>Příloha č. 3 – Činnost KHS a jednotlivých odborů</w:t>
      </w:r>
    </w:p>
    <w:p w:rsidR="00F94FCD" w:rsidRDefault="00F94FCD" w:rsidP="00F94FCD">
      <w:pPr>
        <w:spacing w:before="120"/>
        <w:jc w:val="left"/>
        <w:rPr>
          <w:rFonts w:cs="Arial"/>
          <w:color w:val="auto"/>
          <w:szCs w:val="22"/>
        </w:rPr>
      </w:pPr>
    </w:p>
    <w:p w:rsidR="00F94FCD" w:rsidRDefault="00F94FCD" w:rsidP="00F94FCD">
      <w:pPr>
        <w:autoSpaceDE w:val="0"/>
        <w:autoSpaceDN w:val="0"/>
        <w:adjustRightInd w:val="0"/>
        <w:rPr>
          <w:rFonts w:cs="Arial"/>
          <w:b/>
          <w:bCs/>
          <w:color w:val="003D61"/>
          <w:sz w:val="24"/>
        </w:rPr>
      </w:pPr>
      <w:r>
        <w:rPr>
          <w:rFonts w:cs="Arial"/>
          <w:b/>
          <w:bCs/>
          <w:color w:val="003D61"/>
          <w:sz w:val="24"/>
        </w:rPr>
        <w:t>KRAJSKÁ HYGIENICKÁ STANICE</w:t>
      </w:r>
    </w:p>
    <w:p w:rsidR="00F94FCD" w:rsidRDefault="00F94FCD" w:rsidP="00F94FCD">
      <w:pPr>
        <w:spacing w:after="240"/>
        <w:rPr>
          <w:rFonts w:cs="Arial"/>
          <w:b/>
          <w:bCs/>
          <w:color w:val="29AEFF"/>
          <w:sz w:val="24"/>
        </w:rPr>
      </w:pPr>
      <w:r>
        <w:rPr>
          <w:rFonts w:ascii="Arial,Bold" w:hAnsi="Arial,Bold" w:cs="Arial,Bold"/>
          <w:b/>
          <w:bCs/>
          <w:color w:val="29AEFF"/>
          <w:sz w:val="24"/>
        </w:rPr>
        <w:t>STŘEDOČESKÉHO KRAJE SE SÍDLEM V </w:t>
      </w:r>
      <w:r>
        <w:rPr>
          <w:rFonts w:cs="Arial"/>
          <w:b/>
          <w:bCs/>
          <w:color w:val="29AEFF"/>
          <w:sz w:val="24"/>
        </w:rPr>
        <w:t>PRAZE</w:t>
      </w:r>
    </w:p>
    <w:p w:rsidR="00F94FCD" w:rsidRDefault="00F94FCD" w:rsidP="00F94FCD">
      <w:pPr>
        <w:numPr>
          <w:ilvl w:val="0"/>
          <w:numId w:val="20"/>
        </w:numPr>
        <w:tabs>
          <w:tab w:val="clear" w:pos="720"/>
        </w:tabs>
        <w:spacing w:line="240" w:lineRule="auto"/>
        <w:ind w:left="360"/>
      </w:pPr>
      <w:r>
        <w:t>vydává rozhodnutí, povolení, osvědčení a plní další úkoly státní správy v ochraně veřejného zdraví včetně státního zdravotního dozoru,</w:t>
      </w:r>
    </w:p>
    <w:p w:rsidR="00F94FCD" w:rsidRDefault="00F94FCD" w:rsidP="00F94FCD">
      <w:pPr>
        <w:numPr>
          <w:ilvl w:val="0"/>
          <w:numId w:val="20"/>
        </w:numPr>
        <w:tabs>
          <w:tab w:val="clear" w:pos="720"/>
        </w:tabs>
        <w:spacing w:line="240" w:lineRule="auto"/>
        <w:ind w:left="360"/>
      </w:pPr>
      <w:r>
        <w:t>vykonává státní zdravotní dozor nad dodržováním zákazů a plněním dalších povinností stanovených přímo použitelnými předpisy Evropských společenství, zákonem o ochraně veřejného zdraví a zvláštními právními předpisy k ochraně veřejného zdraví včetně ochrany zdraví při práci,</w:t>
      </w:r>
    </w:p>
    <w:p w:rsidR="00F94FCD" w:rsidRDefault="00F94FCD" w:rsidP="00F94FCD">
      <w:pPr>
        <w:numPr>
          <w:ilvl w:val="0"/>
          <w:numId w:val="20"/>
        </w:numPr>
        <w:tabs>
          <w:tab w:val="clear" w:pos="720"/>
        </w:tabs>
        <w:spacing w:line="240" w:lineRule="auto"/>
        <w:ind w:left="360"/>
      </w:pPr>
      <w:r>
        <w:t>provádí hodnocení a řízení zdravotních rizik z hlediska prevence negativního ovlivnění zdravotního stavu obyvatelstva a podílí se na monitorování vztahů zdravotního stavu obyvatelstva a faktorů životního prostředí a životních a pracovních podmínek,</w:t>
      </w:r>
    </w:p>
    <w:p w:rsidR="00F94FCD" w:rsidRDefault="00F94FCD" w:rsidP="00F94FCD">
      <w:pPr>
        <w:numPr>
          <w:ilvl w:val="0"/>
          <w:numId w:val="20"/>
        </w:numPr>
        <w:tabs>
          <w:tab w:val="clear" w:pos="720"/>
        </w:tabs>
        <w:spacing w:line="240" w:lineRule="auto"/>
        <w:ind w:left="360" w:hanging="357"/>
      </w:pPr>
      <w:r>
        <w:t xml:space="preserve">plní úkoly dotčeného správního úřadu ve věcech dotýkajících se zájmů ochrany veřejného zdraví, </w:t>
      </w:r>
    </w:p>
    <w:p w:rsidR="00F94FCD" w:rsidRDefault="00F94FCD" w:rsidP="00F94FCD">
      <w:pPr>
        <w:numPr>
          <w:ilvl w:val="0"/>
          <w:numId w:val="20"/>
        </w:numPr>
        <w:tabs>
          <w:tab w:val="clear" w:pos="720"/>
        </w:tabs>
        <w:spacing w:line="240" w:lineRule="auto"/>
        <w:ind w:left="360"/>
      </w:pPr>
      <w:r>
        <w:t xml:space="preserve">spolupracuje se správními úřady a s orgány samosprávy při tvorbě zdravotní politiky příslušného regionu. </w:t>
      </w:r>
    </w:p>
    <w:p w:rsidR="00F94FCD" w:rsidRDefault="00F94FCD" w:rsidP="00F94FCD">
      <w:pPr>
        <w:pStyle w:val="Nadpis2"/>
        <w:spacing w:before="600"/>
        <w:rPr>
          <w:rFonts w:cs="Times New Roman"/>
          <w:b w:val="0"/>
          <w:bCs w:val="0"/>
          <w:iCs w:val="0"/>
          <w:color w:val="0090CC"/>
          <w:szCs w:val="24"/>
        </w:rPr>
      </w:pPr>
      <w:r>
        <w:rPr>
          <w:color w:val="0090CC"/>
        </w:rPr>
        <w:t xml:space="preserve">Odbor hygieny obecné a komunální         </w:t>
      </w:r>
      <w:r>
        <w:rPr>
          <w:rFonts w:cs="Times New Roman"/>
          <w:b w:val="0"/>
          <w:bCs w:val="0"/>
          <w:iCs w:val="0"/>
          <w:color w:val="0090CC"/>
          <w:szCs w:val="24"/>
        </w:rPr>
        <w:t xml:space="preserve">                           </w:t>
      </w:r>
    </w:p>
    <w:p w:rsidR="00F94FCD" w:rsidRDefault="00F94FCD" w:rsidP="00F94FCD">
      <w:pPr>
        <w:numPr>
          <w:ilvl w:val="1"/>
          <w:numId w:val="14"/>
        </w:numPr>
        <w:tabs>
          <w:tab w:val="clear" w:pos="1440"/>
        </w:tabs>
        <w:spacing w:line="240" w:lineRule="auto"/>
        <w:ind w:left="360"/>
        <w:jc w:val="left"/>
      </w:pPr>
      <w:r>
        <w:t xml:space="preserve">kontroluje hygienické požadavky na zásobování pitnou a teplou vodou, na výrobky přicházející do přímého styku s vodou a na vodárenské technologie včetně chemických přípravků, </w:t>
      </w:r>
    </w:p>
    <w:p w:rsidR="00F94FCD" w:rsidRDefault="00F94FCD" w:rsidP="00F94FCD">
      <w:pPr>
        <w:numPr>
          <w:ilvl w:val="1"/>
          <w:numId w:val="14"/>
        </w:numPr>
        <w:tabs>
          <w:tab w:val="clear" w:pos="1440"/>
        </w:tabs>
        <w:spacing w:line="240" w:lineRule="auto"/>
        <w:ind w:left="360"/>
      </w:pPr>
      <w:r>
        <w:t xml:space="preserve">kontroluje plnění požadavků na provoz koupališť včetně bazénů, saun a koupacích oblastí, </w:t>
      </w:r>
    </w:p>
    <w:p w:rsidR="00F94FCD" w:rsidRDefault="00F94FCD" w:rsidP="00F94FCD">
      <w:pPr>
        <w:numPr>
          <w:ilvl w:val="1"/>
          <w:numId w:val="14"/>
        </w:numPr>
        <w:tabs>
          <w:tab w:val="clear" w:pos="1440"/>
        </w:tabs>
        <w:spacing w:line="240" w:lineRule="auto"/>
        <w:ind w:left="360"/>
      </w:pPr>
      <w:r>
        <w:t xml:space="preserve">provádí dozor nad zajištěním ochrany před hlukem, vibracemi a neionizujícím zářením v životním prostředí člověka, </w:t>
      </w:r>
    </w:p>
    <w:p w:rsidR="00F94FCD" w:rsidRDefault="00F94FCD" w:rsidP="00F94FCD">
      <w:pPr>
        <w:numPr>
          <w:ilvl w:val="1"/>
          <w:numId w:val="14"/>
        </w:numPr>
        <w:tabs>
          <w:tab w:val="clear" w:pos="1440"/>
        </w:tabs>
        <w:spacing w:line="240" w:lineRule="auto"/>
        <w:ind w:left="360"/>
      </w:pPr>
      <w:r>
        <w:t>kontroluje dodržování povinností při provádění činností epidemiologicky závažných (služby zaměřené na péči o tělo) včetně ubytovacích služeb,</w:t>
      </w:r>
    </w:p>
    <w:p w:rsidR="00F94FCD" w:rsidRDefault="00F94FCD" w:rsidP="00F94FCD">
      <w:pPr>
        <w:numPr>
          <w:ilvl w:val="1"/>
          <w:numId w:val="14"/>
        </w:numPr>
        <w:tabs>
          <w:tab w:val="clear" w:pos="1440"/>
        </w:tabs>
        <w:spacing w:line="240" w:lineRule="auto"/>
        <w:ind w:left="360"/>
        <w:jc w:val="left"/>
      </w:pPr>
      <w:r>
        <w:t xml:space="preserve">kontroluje kvalitu vnitřního prostředí vybraných staveb. </w:t>
      </w:r>
    </w:p>
    <w:p w:rsidR="00F94FCD" w:rsidRDefault="00F94FCD" w:rsidP="00F94FCD">
      <w:pPr>
        <w:pStyle w:val="Nadpis2"/>
        <w:spacing w:before="600"/>
        <w:rPr>
          <w:color w:val="0090CC"/>
        </w:rPr>
      </w:pPr>
      <w:r>
        <w:rPr>
          <w:color w:val="0090CC"/>
        </w:rPr>
        <w:t xml:space="preserve">Odbor hygieny výživy a předmětů běžného užívání           </w:t>
      </w:r>
    </w:p>
    <w:p w:rsidR="00F94FCD" w:rsidRDefault="00F94FCD" w:rsidP="00F94FCD">
      <w:pPr>
        <w:pStyle w:val="Nadpis2"/>
        <w:keepNext w:val="0"/>
        <w:numPr>
          <w:ilvl w:val="0"/>
          <w:numId w:val="18"/>
        </w:numPr>
        <w:tabs>
          <w:tab w:val="clear" w:pos="1428"/>
        </w:tabs>
        <w:spacing w:before="0" w:after="0" w:line="240" w:lineRule="auto"/>
        <w:ind w:left="357" w:hanging="357"/>
        <w:rPr>
          <w:b w:val="0"/>
          <w:color w:val="auto"/>
        </w:rPr>
      </w:pPr>
      <w:r>
        <w:rPr>
          <w:b w:val="0"/>
          <w:color w:val="auto"/>
        </w:rPr>
        <w:t>provádí státní zdravotní dozor v zařízení podávajících pokrmy a/nebo nápoje včetně nemocničního stravování,</w:t>
      </w:r>
    </w:p>
    <w:p w:rsidR="00F94FCD" w:rsidRDefault="00F94FCD" w:rsidP="00F94FCD">
      <w:pPr>
        <w:pStyle w:val="Nadpis2"/>
        <w:keepNext w:val="0"/>
        <w:numPr>
          <w:ilvl w:val="0"/>
          <w:numId w:val="18"/>
        </w:numPr>
        <w:tabs>
          <w:tab w:val="clear" w:pos="1428"/>
        </w:tabs>
        <w:spacing w:before="100" w:beforeAutospacing="1" w:after="100" w:afterAutospacing="1" w:line="240" w:lineRule="auto"/>
        <w:ind w:left="360"/>
        <w:rPr>
          <w:b w:val="0"/>
          <w:color w:val="auto"/>
        </w:rPr>
      </w:pPr>
      <w:r>
        <w:rPr>
          <w:b w:val="0"/>
          <w:color w:val="auto"/>
        </w:rPr>
        <w:t>kontroluje bezpečnost potravin včetně  zjišťování příčin poškození nebo ohrožení zdraví spotřebitele,</w:t>
      </w:r>
    </w:p>
    <w:p w:rsidR="00F94FCD" w:rsidRDefault="00F94FCD" w:rsidP="00F94FCD">
      <w:pPr>
        <w:pStyle w:val="Nadpis2"/>
        <w:keepNext w:val="0"/>
        <w:numPr>
          <w:ilvl w:val="0"/>
          <w:numId w:val="18"/>
        </w:numPr>
        <w:tabs>
          <w:tab w:val="clear" w:pos="1428"/>
        </w:tabs>
        <w:spacing w:before="100" w:beforeAutospacing="1" w:after="100" w:afterAutospacing="1" w:line="240" w:lineRule="auto"/>
        <w:ind w:left="360"/>
        <w:rPr>
          <w:b w:val="0"/>
          <w:color w:val="auto"/>
        </w:rPr>
      </w:pPr>
      <w:r>
        <w:rPr>
          <w:b w:val="0"/>
          <w:color w:val="auto"/>
        </w:rPr>
        <w:t xml:space="preserve">ověřuje zdravotní nezávadnost předmětů běžného užívání (hračky, výrobky pro děti ve věku do 3 let, kosmetické prostředky, materiály a  předměty pro styk s potravinami), </w:t>
      </w:r>
    </w:p>
    <w:p w:rsidR="00F94FCD" w:rsidRDefault="00F94FCD" w:rsidP="00F94FCD">
      <w:pPr>
        <w:pStyle w:val="Nadpis2"/>
        <w:keepNext w:val="0"/>
        <w:numPr>
          <w:ilvl w:val="0"/>
          <w:numId w:val="18"/>
        </w:numPr>
        <w:tabs>
          <w:tab w:val="clear" w:pos="1428"/>
        </w:tabs>
        <w:spacing w:before="0" w:after="0" w:line="240" w:lineRule="auto"/>
        <w:ind w:left="357" w:hanging="357"/>
        <w:rPr>
          <w:b w:val="0"/>
          <w:color w:val="auto"/>
        </w:rPr>
      </w:pPr>
      <w:r>
        <w:rPr>
          <w:b w:val="0"/>
          <w:color w:val="auto"/>
        </w:rPr>
        <w:t>provádí dohled nad ochranou zájmů spotřebitele.</w:t>
      </w:r>
    </w:p>
    <w:p w:rsidR="00F94FCD" w:rsidRDefault="00F94FCD" w:rsidP="00F94FCD">
      <w:pPr>
        <w:pStyle w:val="Nadpis2"/>
        <w:spacing w:before="600"/>
        <w:rPr>
          <w:color w:val="0090CC"/>
        </w:rPr>
      </w:pPr>
      <w:r>
        <w:rPr>
          <w:color w:val="0090CC"/>
        </w:rPr>
        <w:t xml:space="preserve">Odbor hygieny práce                                                   </w:t>
      </w:r>
    </w:p>
    <w:p w:rsidR="00F94FCD" w:rsidRDefault="00F94FCD" w:rsidP="00F94FCD">
      <w:pPr>
        <w:numPr>
          <w:ilvl w:val="0"/>
          <w:numId w:val="15"/>
        </w:numPr>
        <w:tabs>
          <w:tab w:val="clear" w:pos="720"/>
        </w:tabs>
        <w:spacing w:line="240" w:lineRule="auto"/>
        <w:ind w:left="360"/>
      </w:pPr>
      <w:r>
        <w:t>kontroluje podmínky na všech pracovištích se zaměřením na dodržování stanovených limitů (např. osvětlení, větrání, dodržování hygienických limitů pro fyzikální faktory, chemické škodliviny a prach v pracovním prostředí, dále limitů pro fyzickou zátěž, psychickou zátěže atd.),</w:t>
      </w:r>
      <w:r>
        <w:rPr>
          <w:sz w:val="20"/>
          <w:szCs w:val="20"/>
        </w:rPr>
        <w:t xml:space="preserve"> </w:t>
      </w:r>
      <w:r>
        <w:t>kontroluje</w:t>
      </w:r>
      <w:r>
        <w:rPr>
          <w:sz w:val="20"/>
          <w:szCs w:val="20"/>
        </w:rPr>
        <w:t xml:space="preserve"> </w:t>
      </w:r>
      <w:r>
        <w:t xml:space="preserve">vybavení pracovišť sanitárními a pomocnými zařízeními, zásobování pracovišť vodou atd., </w:t>
      </w:r>
    </w:p>
    <w:p w:rsidR="00F94FCD" w:rsidRDefault="00F94FCD" w:rsidP="00F94FCD">
      <w:pPr>
        <w:numPr>
          <w:ilvl w:val="0"/>
          <w:numId w:val="15"/>
        </w:numPr>
        <w:tabs>
          <w:tab w:val="clear" w:pos="720"/>
        </w:tabs>
        <w:spacing w:line="240" w:lineRule="auto"/>
        <w:ind w:left="360"/>
      </w:pPr>
      <w:r>
        <w:t xml:space="preserve">kontroluje dodržování zákonných požadavků závodní preventivní péče, </w:t>
      </w:r>
    </w:p>
    <w:p w:rsidR="00F94FCD" w:rsidRDefault="00F94FCD" w:rsidP="00F94FCD">
      <w:pPr>
        <w:numPr>
          <w:ilvl w:val="0"/>
          <w:numId w:val="16"/>
        </w:numPr>
        <w:tabs>
          <w:tab w:val="clear" w:pos="720"/>
        </w:tabs>
        <w:spacing w:line="240" w:lineRule="auto"/>
        <w:ind w:left="360"/>
      </w:pPr>
      <w:r>
        <w:t xml:space="preserve">rozhoduje ve věcech kategorizace prací, minimálním rozsahu a termínů sledování faktorů pracovních podmínek a minimální náplně vstupních, periodických, výstupních a následných lékařských preventivních prohlídek fyzických osob, </w:t>
      </w:r>
    </w:p>
    <w:p w:rsidR="00F94FCD" w:rsidRDefault="00F94FCD" w:rsidP="00F94FCD">
      <w:pPr>
        <w:numPr>
          <w:ilvl w:val="0"/>
          <w:numId w:val="16"/>
        </w:numPr>
        <w:tabs>
          <w:tab w:val="clear" w:pos="720"/>
        </w:tabs>
        <w:spacing w:line="240" w:lineRule="auto"/>
        <w:ind w:left="360"/>
      </w:pPr>
      <w:r>
        <w:t>provádí ověření podmínek onemocnění pro účely posuzování nemocí z povolání.</w:t>
      </w:r>
    </w:p>
    <w:p w:rsidR="00F94FCD" w:rsidRDefault="00F94FCD" w:rsidP="00F94FCD">
      <w:pPr>
        <w:spacing w:before="600" w:after="60"/>
        <w:rPr>
          <w:rFonts w:cs="Arial"/>
          <w:b/>
          <w:color w:val="0090CC"/>
        </w:rPr>
      </w:pPr>
      <w:r>
        <w:rPr>
          <w:rFonts w:cs="Arial"/>
          <w:b/>
          <w:color w:val="0090CC"/>
        </w:rPr>
        <w:lastRenderedPageBreak/>
        <w:t xml:space="preserve">Odbor hygieny dětí a mladistvých                                 </w:t>
      </w:r>
    </w:p>
    <w:p w:rsidR="00F94FCD" w:rsidRDefault="00F94FCD" w:rsidP="00F94FCD">
      <w:pPr>
        <w:pStyle w:val="Zkladntext"/>
        <w:numPr>
          <w:ilvl w:val="0"/>
          <w:numId w:val="17"/>
        </w:numPr>
        <w:tabs>
          <w:tab w:val="clear" w:pos="1428"/>
        </w:tabs>
        <w:ind w:left="360" w:hanging="357"/>
        <w:jc w:val="left"/>
        <w:rPr>
          <w:rFonts w:ascii="Arial" w:hAnsi="Arial" w:cs="Arial"/>
          <w:sz w:val="22"/>
          <w:szCs w:val="22"/>
        </w:rPr>
      </w:pPr>
      <w:r>
        <w:rPr>
          <w:rFonts w:ascii="Arial" w:eastAsia="Symbol" w:hAnsi="Arial" w:cs="Arial"/>
          <w:sz w:val="22"/>
          <w:szCs w:val="22"/>
        </w:rPr>
        <w:t>provádí státní zdravotní dozor v zařízeních pro děti a mladistvé,</w:t>
      </w:r>
    </w:p>
    <w:p w:rsidR="00F94FCD" w:rsidRDefault="00F94FCD" w:rsidP="00F94FCD">
      <w:pPr>
        <w:pStyle w:val="Zkladntext"/>
        <w:numPr>
          <w:ilvl w:val="0"/>
          <w:numId w:val="17"/>
        </w:numPr>
        <w:tabs>
          <w:tab w:val="clear" w:pos="1428"/>
        </w:tabs>
        <w:ind w:left="363" w:hanging="357"/>
        <w:jc w:val="left"/>
        <w:rPr>
          <w:rFonts w:ascii="Arial" w:hAnsi="Arial" w:cs="Arial"/>
          <w:sz w:val="22"/>
          <w:szCs w:val="22"/>
        </w:rPr>
      </w:pPr>
      <w:r>
        <w:rPr>
          <w:rFonts w:ascii="Arial" w:eastAsia="Symbol" w:hAnsi="Arial" w:cs="Arial"/>
          <w:sz w:val="22"/>
          <w:szCs w:val="22"/>
        </w:rPr>
        <w:t xml:space="preserve">kontroluje  zařízení a provozovny pro výchovu a vzdělávání dětí a mladistvých,   </w:t>
      </w:r>
    </w:p>
    <w:p w:rsidR="00F94FCD" w:rsidRDefault="00F94FCD" w:rsidP="00F94FCD">
      <w:pPr>
        <w:pStyle w:val="Zkladntext"/>
        <w:numPr>
          <w:ilvl w:val="0"/>
          <w:numId w:val="17"/>
        </w:numPr>
        <w:tabs>
          <w:tab w:val="clear" w:pos="1428"/>
        </w:tabs>
        <w:ind w:left="360" w:hanging="357"/>
        <w:jc w:val="left"/>
        <w:rPr>
          <w:rFonts w:ascii="Arial" w:hAnsi="Arial" w:cs="Arial"/>
          <w:sz w:val="22"/>
          <w:szCs w:val="22"/>
        </w:rPr>
      </w:pPr>
      <w:r>
        <w:rPr>
          <w:rFonts w:ascii="Arial" w:eastAsia="Symbol" w:hAnsi="Arial" w:cs="Arial"/>
          <w:sz w:val="22"/>
          <w:szCs w:val="22"/>
        </w:rPr>
        <w:t xml:space="preserve">sleduje podmínky </w:t>
      </w:r>
      <w:r>
        <w:rPr>
          <w:rFonts w:ascii="Arial" w:hAnsi="Arial" w:cs="Arial"/>
          <w:sz w:val="22"/>
          <w:szCs w:val="22"/>
        </w:rPr>
        <w:t>odborného výcviku a učební praxe mladistvých,</w:t>
      </w:r>
    </w:p>
    <w:p w:rsidR="00F94FCD" w:rsidRDefault="00F94FCD" w:rsidP="00F94FCD">
      <w:pPr>
        <w:pStyle w:val="Zkladntext"/>
        <w:numPr>
          <w:ilvl w:val="0"/>
          <w:numId w:val="17"/>
        </w:numPr>
        <w:tabs>
          <w:tab w:val="clear" w:pos="1428"/>
        </w:tabs>
        <w:ind w:left="360" w:hanging="357"/>
        <w:rPr>
          <w:rFonts w:ascii="Arial" w:hAnsi="Arial" w:cs="Arial"/>
          <w:sz w:val="22"/>
          <w:szCs w:val="22"/>
        </w:rPr>
      </w:pPr>
      <w:r>
        <w:rPr>
          <w:rFonts w:ascii="Arial" w:hAnsi="Arial" w:cs="Arial"/>
          <w:sz w:val="22"/>
          <w:szCs w:val="22"/>
        </w:rPr>
        <w:t>kontroluje podmínky pro pohybovou výchovu a otužování (ochrana před úrazy, prostorové uspořádání, šatny a hygienická zařízení, vytápění, větrání a další),</w:t>
      </w:r>
    </w:p>
    <w:p w:rsidR="00F94FCD" w:rsidRDefault="00F94FCD" w:rsidP="00F94FCD">
      <w:pPr>
        <w:pStyle w:val="Zkladntext"/>
        <w:numPr>
          <w:ilvl w:val="0"/>
          <w:numId w:val="17"/>
        </w:numPr>
        <w:tabs>
          <w:tab w:val="clear" w:pos="1428"/>
        </w:tabs>
        <w:ind w:left="360" w:hanging="357"/>
        <w:rPr>
          <w:rFonts w:ascii="Arial" w:hAnsi="Arial" w:cs="Arial"/>
          <w:sz w:val="22"/>
          <w:szCs w:val="22"/>
        </w:rPr>
      </w:pPr>
      <w:r>
        <w:rPr>
          <w:rFonts w:ascii="Arial" w:eastAsia="Symbol" w:hAnsi="Arial" w:cs="Arial"/>
          <w:sz w:val="22"/>
          <w:szCs w:val="22"/>
        </w:rPr>
        <w:t xml:space="preserve">kontroluje </w:t>
      </w:r>
      <w:r>
        <w:rPr>
          <w:rFonts w:ascii="Arial" w:hAnsi="Arial" w:cs="Arial"/>
          <w:sz w:val="22"/>
          <w:szCs w:val="22"/>
        </w:rPr>
        <w:t>venkovní hrací plochy s pískovišti,</w:t>
      </w:r>
    </w:p>
    <w:p w:rsidR="00F94FCD" w:rsidRDefault="00F94FCD" w:rsidP="00F94FCD">
      <w:pPr>
        <w:pStyle w:val="Zkladntext"/>
        <w:numPr>
          <w:ilvl w:val="0"/>
          <w:numId w:val="17"/>
        </w:numPr>
        <w:tabs>
          <w:tab w:val="clear" w:pos="1428"/>
        </w:tabs>
        <w:ind w:left="360" w:hanging="357"/>
        <w:rPr>
          <w:rFonts w:ascii="Arial" w:hAnsi="Arial" w:cs="Arial"/>
          <w:sz w:val="22"/>
          <w:szCs w:val="22"/>
        </w:rPr>
      </w:pPr>
      <w:r>
        <w:rPr>
          <w:rFonts w:ascii="Arial" w:eastAsia="Symbol" w:hAnsi="Arial" w:cs="Arial"/>
          <w:sz w:val="22"/>
          <w:szCs w:val="22"/>
        </w:rPr>
        <w:t>kontroluje zotavovací akce a jiné podobné akce pro děti (umístění, vybavení, zásobování pitnou vodou, stravování, úklid, podmínky účasti dětí a fyzických osob).</w:t>
      </w:r>
    </w:p>
    <w:p w:rsidR="00F94FCD" w:rsidRDefault="00F94FCD" w:rsidP="00F94FCD">
      <w:pPr>
        <w:pStyle w:val="Nadpis2"/>
        <w:spacing w:before="600"/>
        <w:rPr>
          <w:color w:val="0090CC"/>
        </w:rPr>
      </w:pPr>
      <w:r>
        <w:rPr>
          <w:color w:val="0090CC"/>
        </w:rPr>
        <w:t xml:space="preserve">Odbor epidemiologie                                                              </w:t>
      </w:r>
    </w:p>
    <w:p w:rsidR="00F94FCD" w:rsidRDefault="00F94FCD" w:rsidP="00F94FCD">
      <w:pPr>
        <w:numPr>
          <w:ilvl w:val="0"/>
          <w:numId w:val="19"/>
        </w:numPr>
        <w:tabs>
          <w:tab w:val="clear" w:pos="1428"/>
        </w:tabs>
        <w:spacing w:line="240" w:lineRule="auto"/>
        <w:ind w:left="360"/>
      </w:pPr>
      <w:r>
        <w:t xml:space="preserve">sleduje výskyt a povahu jednotlivě či hromadně se vyskytujících infekčních onemocnění v populaci, prošetřuje příčiny a podmínky jejich vzniku a šíření a na základě výsledků prováděných epidemiologických šetření navrhuje, nařizuje, řídí a popřípadě i provádí opatření k předcházení vzniku a zamezení šíření infekčních onemocnění, </w:t>
      </w:r>
    </w:p>
    <w:p w:rsidR="00F94FCD" w:rsidRDefault="00F94FCD" w:rsidP="00F94FCD">
      <w:pPr>
        <w:numPr>
          <w:ilvl w:val="0"/>
          <w:numId w:val="19"/>
        </w:numPr>
        <w:tabs>
          <w:tab w:val="clear" w:pos="1428"/>
        </w:tabs>
        <w:spacing w:line="240" w:lineRule="auto"/>
        <w:ind w:left="360"/>
      </w:pPr>
      <w:r>
        <w:t xml:space="preserve">kontroluje činnost a provoz zdravotnických zařízení a zařízení sociálních služeb z hlediska předcházení vzniku a šíření nemocničních nákaz, </w:t>
      </w:r>
    </w:p>
    <w:p w:rsidR="00F94FCD" w:rsidRDefault="00F94FCD" w:rsidP="00F94FCD">
      <w:pPr>
        <w:numPr>
          <w:ilvl w:val="0"/>
          <w:numId w:val="19"/>
        </w:numPr>
        <w:tabs>
          <w:tab w:val="clear" w:pos="1428"/>
        </w:tabs>
        <w:spacing w:line="240" w:lineRule="auto"/>
        <w:ind w:left="360"/>
      </w:pPr>
      <w:r>
        <w:t>kontroluje činnost zdravotnických zařízení z hlediska provádění očkování,</w:t>
      </w:r>
    </w:p>
    <w:p w:rsidR="00F94FCD" w:rsidRDefault="00F94FCD" w:rsidP="00F94FCD">
      <w:pPr>
        <w:numPr>
          <w:ilvl w:val="0"/>
          <w:numId w:val="19"/>
        </w:numPr>
        <w:tabs>
          <w:tab w:val="clear" w:pos="1428"/>
        </w:tabs>
        <w:spacing w:line="240" w:lineRule="auto"/>
        <w:ind w:left="360"/>
      </w:pPr>
      <w:r>
        <w:t>nařizuje mimořádná opatření při epidemii a nebezpečí jejího vzniku,</w:t>
      </w:r>
    </w:p>
    <w:p w:rsidR="00F94FCD" w:rsidRPr="0020161C" w:rsidRDefault="00F94FCD" w:rsidP="00F94FCD">
      <w:pPr>
        <w:numPr>
          <w:ilvl w:val="0"/>
          <w:numId w:val="19"/>
        </w:numPr>
        <w:tabs>
          <w:tab w:val="clear" w:pos="1428"/>
        </w:tabs>
        <w:spacing w:line="240" w:lineRule="auto"/>
        <w:ind w:left="360"/>
        <w:jc w:val="left"/>
        <w:rPr>
          <w:rFonts w:cs="Arial"/>
          <w:color w:val="auto"/>
          <w:szCs w:val="22"/>
        </w:rPr>
      </w:pPr>
      <w:r>
        <w:t>řídí a kontroluje činnosti prováděné na úseku dezinfekce, dezinsekce a deratizace.</w:t>
      </w:r>
    </w:p>
    <w:p w:rsidR="00F94FCD" w:rsidRDefault="00F94FCD" w:rsidP="00F94FCD">
      <w:pPr>
        <w:spacing w:line="240" w:lineRule="auto"/>
        <w:jc w:val="left"/>
      </w:pPr>
    </w:p>
    <w:p w:rsidR="00F94FCD" w:rsidRDefault="00F94FCD" w:rsidP="00F94FCD">
      <w:pPr>
        <w:spacing w:line="240" w:lineRule="auto"/>
        <w:jc w:val="left"/>
      </w:pPr>
    </w:p>
    <w:p w:rsidR="00F94FCD" w:rsidRDefault="00F94FCD" w:rsidP="00F94FCD">
      <w:pPr>
        <w:spacing w:line="240" w:lineRule="auto"/>
        <w:jc w:val="left"/>
        <w:rPr>
          <w:rFonts w:cs="Arial"/>
          <w:color w:val="auto"/>
          <w:szCs w:val="22"/>
        </w:rPr>
      </w:pPr>
    </w:p>
    <w:p w:rsidR="000860D5" w:rsidRDefault="000860D5"/>
    <w:sectPr w:rsidR="000860D5">
      <w:pgSz w:w="11906" w:h="16838" w:code="9"/>
      <w:pgMar w:top="1926" w:right="851" w:bottom="1438" w:left="868" w:header="1077" w:footer="661"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Symbol">
    <w:panose1 w:val="020B0502040204020203"/>
    <w:charset w:val="00"/>
    <w:family w:val="swiss"/>
    <w:pitch w:val="variable"/>
    <w:sig w:usb0="8000006F" w:usb1="1200FBEF" w:usb2="0064C000" w:usb3="00000000" w:csb0="00000001" w:csb1="00000000"/>
  </w:font>
  <w:font w:name="Tahoma">
    <w:panose1 w:val="020B0604030504040204"/>
    <w:charset w:val="EE"/>
    <w:family w:val="swiss"/>
    <w:pitch w:val="variable"/>
    <w:sig w:usb0="E1002EFF" w:usb1="C000605B" w:usb2="00000029" w:usb3="00000000" w:csb0="000101FF" w:csb1="00000000"/>
  </w:font>
  <w:font w:name="Arial,Bold">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42E8" w:rsidRDefault="00AB1AC2">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E242E8" w:rsidRDefault="00AB1AC2">
    <w:pPr>
      <w:pStyle w:val="Zpa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42E8" w:rsidRDefault="00AB1AC2">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4D7CA4">
      <w:rPr>
        <w:rStyle w:val="slostrnky"/>
      </w:rPr>
      <w:t>1</w:t>
    </w:r>
    <w:r>
      <w:rPr>
        <w:rStyle w:val="slostrnky"/>
      </w:rPr>
      <w:fldChar w:fldCharType="end"/>
    </w:r>
  </w:p>
  <w:p w:rsidR="00E242E8" w:rsidRDefault="00AB1AC2">
    <w:pPr>
      <w:pStyle w:val="Zpat"/>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42E8" w:rsidRDefault="00AB1AC2" w:rsidP="00E242E8">
    <w:pPr>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114.85pt;margin-top:-27.15pt;width:271.5pt;height:33.2pt;z-index:251660288">
          <v:imagedata r:id="rId1" o:title="logo KHS střed"/>
          <w10:wrap type="squar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707D7"/>
    <w:multiLevelType w:val="hybridMultilevel"/>
    <w:tmpl w:val="A48C1D64"/>
    <w:lvl w:ilvl="0" w:tplc="B64AB7F2">
      <w:start w:val="1"/>
      <w:numFmt w:val="decimal"/>
      <w:lvlText w:val="%1."/>
      <w:lvlJc w:val="left"/>
      <w:pPr>
        <w:tabs>
          <w:tab w:val="num" w:pos="720"/>
        </w:tabs>
        <w:ind w:left="720" w:hanging="360"/>
      </w:pPr>
      <w:rPr>
        <w:rFonts w:hint="default"/>
      </w:rPr>
    </w:lvl>
    <w:lvl w:ilvl="1" w:tplc="0405000B">
      <w:start w:val="1"/>
      <w:numFmt w:val="bullet"/>
      <w:lvlText w:val=""/>
      <w:lvlJc w:val="left"/>
      <w:pPr>
        <w:tabs>
          <w:tab w:val="num" w:pos="1440"/>
        </w:tabs>
        <w:ind w:left="1440" w:hanging="360"/>
      </w:pPr>
      <w:rPr>
        <w:rFonts w:ascii="Wingdings" w:hAnsi="Wingding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nsid w:val="097B737F"/>
    <w:multiLevelType w:val="hybridMultilevel"/>
    <w:tmpl w:val="240641DC"/>
    <w:lvl w:ilvl="0" w:tplc="0405000B">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nsid w:val="0BCF3525"/>
    <w:multiLevelType w:val="multilevel"/>
    <w:tmpl w:val="36081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D8C5B37"/>
    <w:multiLevelType w:val="hybridMultilevel"/>
    <w:tmpl w:val="3EDCF752"/>
    <w:lvl w:ilvl="0" w:tplc="0405000F">
      <w:start w:val="1"/>
      <w:numFmt w:val="decimal"/>
      <w:lvlText w:val="%1."/>
      <w:lvlJc w:val="left"/>
      <w:pPr>
        <w:tabs>
          <w:tab w:val="num" w:pos="720"/>
        </w:tabs>
        <w:ind w:left="720" w:hanging="360"/>
      </w:pPr>
      <w:rPr>
        <w:rFonts w:hint="default"/>
      </w:rPr>
    </w:lvl>
    <w:lvl w:ilvl="1" w:tplc="C2E42DFA">
      <w:start w:val="1"/>
      <w:numFmt w:val="bullet"/>
      <w:lvlText w:val=""/>
      <w:lvlJc w:val="left"/>
      <w:pPr>
        <w:tabs>
          <w:tab w:val="num" w:pos="1440"/>
        </w:tabs>
        <w:ind w:left="1440" w:hanging="360"/>
      </w:pPr>
      <w:rPr>
        <w:rFonts w:ascii="Wingdings" w:hAnsi="Wingdings" w:hint="default"/>
      </w:rPr>
    </w:lvl>
    <w:lvl w:ilvl="2" w:tplc="1702FDE4">
      <w:start w:val="1"/>
      <w:numFmt w:val="bullet"/>
      <w:lvlText w:val=""/>
      <w:lvlJc w:val="left"/>
      <w:pPr>
        <w:tabs>
          <w:tab w:val="num" w:pos="2320"/>
        </w:tabs>
        <w:ind w:left="2320" w:hanging="340"/>
      </w:pPr>
      <w:rPr>
        <w:rFonts w:ascii="Wingdings" w:hAnsi="Wingdings" w:hint="default"/>
      </w:rPr>
    </w:lvl>
    <w:lvl w:ilvl="3" w:tplc="0405000B">
      <w:start w:val="1"/>
      <w:numFmt w:val="bullet"/>
      <w:lvlText w:val=""/>
      <w:lvlJc w:val="left"/>
      <w:pPr>
        <w:tabs>
          <w:tab w:val="num" w:pos="2880"/>
        </w:tabs>
        <w:ind w:left="2880" w:hanging="360"/>
      </w:pPr>
      <w:rPr>
        <w:rFonts w:ascii="Wingdings" w:hAnsi="Wingding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0F585E23"/>
    <w:multiLevelType w:val="hybridMultilevel"/>
    <w:tmpl w:val="05165638"/>
    <w:lvl w:ilvl="0" w:tplc="0405000F">
      <w:start w:val="1"/>
      <w:numFmt w:val="decimal"/>
      <w:lvlText w:val="%1."/>
      <w:lvlJc w:val="left"/>
      <w:pPr>
        <w:tabs>
          <w:tab w:val="num" w:pos="720"/>
        </w:tabs>
        <w:ind w:left="720" w:hanging="360"/>
      </w:pPr>
      <w:rPr>
        <w:rFonts w:hint="default"/>
      </w:rPr>
    </w:lvl>
    <w:lvl w:ilvl="1" w:tplc="C2E42DFA">
      <w:start w:val="1"/>
      <w:numFmt w:val="bullet"/>
      <w:lvlText w:val=""/>
      <w:lvlJc w:val="left"/>
      <w:pPr>
        <w:tabs>
          <w:tab w:val="num" w:pos="1440"/>
        </w:tabs>
        <w:ind w:left="1440" w:hanging="360"/>
      </w:pPr>
      <w:rPr>
        <w:rFonts w:ascii="Wingdings" w:hAnsi="Wingdings" w:hint="default"/>
      </w:rPr>
    </w:lvl>
    <w:lvl w:ilvl="2" w:tplc="0680C22A">
      <w:start w:val="2"/>
      <w:numFmt w:val="bullet"/>
      <w:lvlText w:val=""/>
      <w:lvlJc w:val="left"/>
      <w:pPr>
        <w:tabs>
          <w:tab w:val="num" w:pos="2340"/>
        </w:tabs>
        <w:ind w:left="2340" w:hanging="360"/>
      </w:pPr>
      <w:rPr>
        <w:rFonts w:ascii="Wingdings" w:eastAsia="Times New Roman" w:hAnsi="Wingdings" w:cs="Times New Roman"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nsid w:val="15D12FC5"/>
    <w:multiLevelType w:val="hybridMultilevel"/>
    <w:tmpl w:val="CBAC4336"/>
    <w:lvl w:ilvl="0" w:tplc="4FFA7C5E">
      <w:start w:val="1"/>
      <w:numFmt w:val="bullet"/>
      <w:lvlText w:val=""/>
      <w:lvlJc w:val="left"/>
      <w:pPr>
        <w:tabs>
          <w:tab w:val="num" w:pos="1428"/>
        </w:tabs>
        <w:ind w:left="1428" w:hanging="360"/>
      </w:pPr>
      <w:rPr>
        <w:rFonts w:ascii="Symbol" w:hAnsi="Symbol" w:hint="default"/>
        <w:color w:val="auto"/>
      </w:rPr>
    </w:lvl>
    <w:lvl w:ilvl="1" w:tplc="04050003" w:tentative="1">
      <w:start w:val="1"/>
      <w:numFmt w:val="bullet"/>
      <w:lvlText w:val="o"/>
      <w:lvlJc w:val="left"/>
      <w:pPr>
        <w:tabs>
          <w:tab w:val="num" w:pos="2148"/>
        </w:tabs>
        <w:ind w:left="2148" w:hanging="360"/>
      </w:pPr>
      <w:rPr>
        <w:rFonts w:ascii="Courier New" w:hAnsi="Courier New" w:cs="Courier New" w:hint="default"/>
      </w:rPr>
    </w:lvl>
    <w:lvl w:ilvl="2" w:tplc="04050005" w:tentative="1">
      <w:start w:val="1"/>
      <w:numFmt w:val="bullet"/>
      <w:lvlText w:val=""/>
      <w:lvlJc w:val="left"/>
      <w:pPr>
        <w:tabs>
          <w:tab w:val="num" w:pos="2868"/>
        </w:tabs>
        <w:ind w:left="2868" w:hanging="360"/>
      </w:pPr>
      <w:rPr>
        <w:rFonts w:ascii="Wingdings" w:hAnsi="Wingdings" w:hint="default"/>
      </w:rPr>
    </w:lvl>
    <w:lvl w:ilvl="3" w:tplc="04050001" w:tentative="1">
      <w:start w:val="1"/>
      <w:numFmt w:val="bullet"/>
      <w:lvlText w:val=""/>
      <w:lvlJc w:val="left"/>
      <w:pPr>
        <w:tabs>
          <w:tab w:val="num" w:pos="3588"/>
        </w:tabs>
        <w:ind w:left="3588" w:hanging="360"/>
      </w:pPr>
      <w:rPr>
        <w:rFonts w:ascii="Symbol" w:hAnsi="Symbol" w:hint="default"/>
      </w:rPr>
    </w:lvl>
    <w:lvl w:ilvl="4" w:tplc="04050003" w:tentative="1">
      <w:start w:val="1"/>
      <w:numFmt w:val="bullet"/>
      <w:lvlText w:val="o"/>
      <w:lvlJc w:val="left"/>
      <w:pPr>
        <w:tabs>
          <w:tab w:val="num" w:pos="4308"/>
        </w:tabs>
        <w:ind w:left="4308" w:hanging="360"/>
      </w:pPr>
      <w:rPr>
        <w:rFonts w:ascii="Courier New" w:hAnsi="Courier New" w:cs="Courier New" w:hint="default"/>
      </w:rPr>
    </w:lvl>
    <w:lvl w:ilvl="5" w:tplc="04050005" w:tentative="1">
      <w:start w:val="1"/>
      <w:numFmt w:val="bullet"/>
      <w:lvlText w:val=""/>
      <w:lvlJc w:val="left"/>
      <w:pPr>
        <w:tabs>
          <w:tab w:val="num" w:pos="5028"/>
        </w:tabs>
        <w:ind w:left="5028" w:hanging="360"/>
      </w:pPr>
      <w:rPr>
        <w:rFonts w:ascii="Wingdings" w:hAnsi="Wingdings" w:hint="default"/>
      </w:rPr>
    </w:lvl>
    <w:lvl w:ilvl="6" w:tplc="04050001" w:tentative="1">
      <w:start w:val="1"/>
      <w:numFmt w:val="bullet"/>
      <w:lvlText w:val=""/>
      <w:lvlJc w:val="left"/>
      <w:pPr>
        <w:tabs>
          <w:tab w:val="num" w:pos="5748"/>
        </w:tabs>
        <w:ind w:left="5748" w:hanging="360"/>
      </w:pPr>
      <w:rPr>
        <w:rFonts w:ascii="Symbol" w:hAnsi="Symbol" w:hint="default"/>
      </w:rPr>
    </w:lvl>
    <w:lvl w:ilvl="7" w:tplc="04050003" w:tentative="1">
      <w:start w:val="1"/>
      <w:numFmt w:val="bullet"/>
      <w:lvlText w:val="o"/>
      <w:lvlJc w:val="left"/>
      <w:pPr>
        <w:tabs>
          <w:tab w:val="num" w:pos="6468"/>
        </w:tabs>
        <w:ind w:left="6468" w:hanging="360"/>
      </w:pPr>
      <w:rPr>
        <w:rFonts w:ascii="Courier New" w:hAnsi="Courier New" w:cs="Courier New" w:hint="default"/>
      </w:rPr>
    </w:lvl>
    <w:lvl w:ilvl="8" w:tplc="04050005" w:tentative="1">
      <w:start w:val="1"/>
      <w:numFmt w:val="bullet"/>
      <w:lvlText w:val=""/>
      <w:lvlJc w:val="left"/>
      <w:pPr>
        <w:tabs>
          <w:tab w:val="num" w:pos="7188"/>
        </w:tabs>
        <w:ind w:left="7188" w:hanging="360"/>
      </w:pPr>
      <w:rPr>
        <w:rFonts w:ascii="Wingdings" w:hAnsi="Wingdings" w:hint="default"/>
      </w:rPr>
    </w:lvl>
  </w:abstractNum>
  <w:abstractNum w:abstractNumId="6">
    <w:nsid w:val="21AB4388"/>
    <w:multiLevelType w:val="hybridMultilevel"/>
    <w:tmpl w:val="D768565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nsid w:val="2A803CDD"/>
    <w:multiLevelType w:val="hybridMultilevel"/>
    <w:tmpl w:val="4AA4FED4"/>
    <w:lvl w:ilvl="0" w:tplc="1ACA3B0A">
      <w:start w:val="311"/>
      <w:numFmt w:val="bullet"/>
      <w:lvlText w:val=""/>
      <w:lvlJc w:val="left"/>
      <w:pPr>
        <w:tabs>
          <w:tab w:val="num" w:pos="720"/>
        </w:tabs>
        <w:ind w:left="720" w:hanging="360"/>
      </w:pPr>
      <w:rPr>
        <w:rFonts w:ascii="Symbol" w:eastAsia="Times New Roman" w:hAnsi="Symbol" w:cs="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nsid w:val="2D9743B3"/>
    <w:multiLevelType w:val="hybridMultilevel"/>
    <w:tmpl w:val="CD7A4618"/>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2E7D337B"/>
    <w:multiLevelType w:val="hybridMultilevel"/>
    <w:tmpl w:val="91B4109A"/>
    <w:lvl w:ilvl="0" w:tplc="0405000B">
      <w:start w:val="1"/>
      <w:numFmt w:val="bullet"/>
      <w:lvlText w:val=""/>
      <w:lvlJc w:val="left"/>
      <w:pPr>
        <w:tabs>
          <w:tab w:val="num" w:pos="720"/>
        </w:tabs>
        <w:ind w:left="720" w:hanging="360"/>
      </w:pPr>
      <w:rPr>
        <w:rFonts w:ascii="Wingdings" w:hAnsi="Wingdings" w:hint="default"/>
      </w:rPr>
    </w:lvl>
    <w:lvl w:ilvl="1" w:tplc="0405000F">
      <w:start w:val="1"/>
      <w:numFmt w:val="decimal"/>
      <w:lvlText w:val="%2."/>
      <w:lvlJc w:val="left"/>
      <w:pPr>
        <w:tabs>
          <w:tab w:val="num" w:pos="1440"/>
        </w:tabs>
        <w:ind w:left="1440" w:hanging="360"/>
      </w:pPr>
      <w:rPr>
        <w:rFonts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
    <w:nsid w:val="3F166557"/>
    <w:multiLevelType w:val="hybridMultilevel"/>
    <w:tmpl w:val="4EE4E1E6"/>
    <w:lvl w:ilvl="0" w:tplc="0405000B">
      <w:start w:val="1"/>
      <w:numFmt w:val="bullet"/>
      <w:lvlText w:val=""/>
      <w:lvlJc w:val="left"/>
      <w:pPr>
        <w:tabs>
          <w:tab w:val="num" w:pos="720"/>
        </w:tabs>
        <w:ind w:left="720" w:hanging="360"/>
      </w:pPr>
      <w:rPr>
        <w:rFonts w:ascii="Wingdings" w:hAnsi="Wingdings" w:hint="default"/>
      </w:rPr>
    </w:lvl>
    <w:lvl w:ilvl="1" w:tplc="0405000F">
      <w:start w:val="1"/>
      <w:numFmt w:val="decimal"/>
      <w:lvlText w:val="%2."/>
      <w:lvlJc w:val="left"/>
      <w:pPr>
        <w:tabs>
          <w:tab w:val="num" w:pos="1440"/>
        </w:tabs>
        <w:ind w:left="1440" w:hanging="360"/>
      </w:pPr>
      <w:rPr>
        <w:rFonts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
    <w:nsid w:val="490C10D5"/>
    <w:multiLevelType w:val="hybridMultilevel"/>
    <w:tmpl w:val="653C20F2"/>
    <w:lvl w:ilvl="0" w:tplc="1702FDE4">
      <w:start w:val="1"/>
      <w:numFmt w:val="bullet"/>
      <w:lvlText w:val=""/>
      <w:lvlJc w:val="left"/>
      <w:pPr>
        <w:tabs>
          <w:tab w:val="num" w:pos="700"/>
        </w:tabs>
        <w:ind w:left="700" w:hanging="340"/>
      </w:pPr>
      <w:rPr>
        <w:rFonts w:ascii="Wingdings" w:hAnsi="Wingdings" w:hint="default"/>
      </w:rPr>
    </w:lvl>
    <w:lvl w:ilvl="1" w:tplc="0405000F">
      <w:start w:val="1"/>
      <w:numFmt w:val="decimal"/>
      <w:lvlText w:val="%2."/>
      <w:lvlJc w:val="left"/>
      <w:pPr>
        <w:tabs>
          <w:tab w:val="num" w:pos="1440"/>
        </w:tabs>
        <w:ind w:left="1440" w:hanging="360"/>
      </w:pPr>
      <w:rPr>
        <w:rFonts w:hint="default"/>
      </w:rPr>
    </w:lvl>
    <w:lvl w:ilvl="2" w:tplc="2626CFFA">
      <w:start w:val="2"/>
      <w:numFmt w:val="bullet"/>
      <w:lvlText w:val="-"/>
      <w:lvlJc w:val="left"/>
      <w:pPr>
        <w:tabs>
          <w:tab w:val="num" w:pos="2160"/>
        </w:tabs>
        <w:ind w:left="2160" w:hanging="360"/>
      </w:pPr>
      <w:rPr>
        <w:rFonts w:ascii="Arial" w:eastAsia="Times New Roman" w:hAnsi="Arial" w:cs="Arial"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
    <w:nsid w:val="51C70643"/>
    <w:multiLevelType w:val="hybridMultilevel"/>
    <w:tmpl w:val="CEB0B0DC"/>
    <w:lvl w:ilvl="0" w:tplc="0405000B">
      <w:start w:val="1"/>
      <w:numFmt w:val="bullet"/>
      <w:lvlText w:val=""/>
      <w:lvlJc w:val="left"/>
      <w:pPr>
        <w:tabs>
          <w:tab w:val="num" w:pos="720"/>
        </w:tabs>
        <w:ind w:left="720" w:hanging="360"/>
      </w:pPr>
      <w:rPr>
        <w:rFonts w:ascii="Wingdings" w:hAnsi="Wingdings" w:hint="default"/>
      </w:rPr>
    </w:lvl>
    <w:lvl w:ilvl="1" w:tplc="04050019" w:tentative="1">
      <w:start w:val="1"/>
      <w:numFmt w:val="lowerLetter"/>
      <w:lvlText w:val="%2."/>
      <w:lvlJc w:val="left"/>
      <w:pPr>
        <w:tabs>
          <w:tab w:val="num" w:pos="1440"/>
        </w:tabs>
        <w:ind w:left="1440" w:hanging="360"/>
      </w:pPr>
      <w:rPr>
        <w:rFonts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
    <w:nsid w:val="52734EBF"/>
    <w:multiLevelType w:val="multilevel"/>
    <w:tmpl w:val="5D16A5E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4D06E26"/>
    <w:multiLevelType w:val="multilevel"/>
    <w:tmpl w:val="DF22A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5F836336"/>
    <w:multiLevelType w:val="hybridMultilevel"/>
    <w:tmpl w:val="C728E6BC"/>
    <w:lvl w:ilvl="0" w:tplc="C44E58EA">
      <w:start w:val="2"/>
      <w:numFmt w:val="decimal"/>
      <w:lvlText w:val="%1."/>
      <w:lvlJc w:val="left"/>
      <w:pPr>
        <w:tabs>
          <w:tab w:val="num" w:pos="1440"/>
        </w:tabs>
        <w:ind w:left="1440" w:hanging="360"/>
      </w:pPr>
      <w:rPr>
        <w:rFonts w:ascii="Arial" w:hAnsi="Arial" w:hint="default"/>
        <w:b w:val="0"/>
        <w:i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6221636B"/>
    <w:multiLevelType w:val="hybridMultilevel"/>
    <w:tmpl w:val="918E618C"/>
    <w:lvl w:ilvl="0" w:tplc="C2E42DFA">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7">
    <w:nsid w:val="699F5977"/>
    <w:multiLevelType w:val="hybridMultilevel"/>
    <w:tmpl w:val="D360BCD0"/>
    <w:lvl w:ilvl="0" w:tplc="4FFA7C5E">
      <w:start w:val="1"/>
      <w:numFmt w:val="bullet"/>
      <w:lvlText w:val=""/>
      <w:lvlJc w:val="left"/>
      <w:pPr>
        <w:tabs>
          <w:tab w:val="num" w:pos="1428"/>
        </w:tabs>
        <w:ind w:left="1428" w:hanging="360"/>
      </w:pPr>
      <w:rPr>
        <w:rFonts w:ascii="Symbol" w:hAnsi="Symbol"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8">
    <w:nsid w:val="6AC554C8"/>
    <w:multiLevelType w:val="hybridMultilevel"/>
    <w:tmpl w:val="A126CA60"/>
    <w:lvl w:ilvl="0" w:tplc="0405000B">
      <w:start w:val="1"/>
      <w:numFmt w:val="bullet"/>
      <w:lvlText w:val=""/>
      <w:lvlJc w:val="left"/>
      <w:pPr>
        <w:tabs>
          <w:tab w:val="num" w:pos="720"/>
        </w:tabs>
        <w:ind w:left="720" w:hanging="360"/>
      </w:pPr>
      <w:rPr>
        <w:rFonts w:ascii="Wingdings" w:hAnsi="Wingdings" w:hint="default"/>
      </w:rPr>
    </w:lvl>
    <w:lvl w:ilvl="1" w:tplc="C2E42DFA">
      <w:start w:val="1"/>
      <w:numFmt w:val="bullet"/>
      <w:lvlText w:val=""/>
      <w:lvlJc w:val="left"/>
      <w:pPr>
        <w:tabs>
          <w:tab w:val="num" w:pos="1440"/>
        </w:tabs>
        <w:ind w:left="1440" w:hanging="360"/>
      </w:pPr>
      <w:rPr>
        <w:rFonts w:ascii="Wingdings" w:hAnsi="Wingdings" w:hint="default"/>
      </w:rPr>
    </w:lvl>
    <w:lvl w:ilvl="2" w:tplc="0680C22A">
      <w:start w:val="2"/>
      <w:numFmt w:val="bullet"/>
      <w:lvlText w:val=""/>
      <w:lvlJc w:val="left"/>
      <w:pPr>
        <w:tabs>
          <w:tab w:val="num" w:pos="2340"/>
        </w:tabs>
        <w:ind w:left="2340" w:hanging="360"/>
      </w:pPr>
      <w:rPr>
        <w:rFonts w:ascii="Wingdings" w:eastAsia="Times New Roman" w:hAnsi="Wingdings" w:cs="Times New Roman" w:hint="default"/>
      </w:rPr>
    </w:lvl>
    <w:lvl w:ilvl="3" w:tplc="0405000F">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6B43456C"/>
    <w:multiLevelType w:val="hybridMultilevel"/>
    <w:tmpl w:val="180E27C8"/>
    <w:lvl w:ilvl="0" w:tplc="1702FDE4">
      <w:start w:val="1"/>
      <w:numFmt w:val="bullet"/>
      <w:lvlText w:val=""/>
      <w:lvlJc w:val="left"/>
      <w:pPr>
        <w:tabs>
          <w:tab w:val="num" w:pos="700"/>
        </w:tabs>
        <w:ind w:left="700" w:hanging="340"/>
      </w:pPr>
      <w:rPr>
        <w:rFonts w:ascii="Wingdings" w:hAnsi="Wingdings" w:hint="default"/>
      </w:rPr>
    </w:lvl>
    <w:lvl w:ilvl="1" w:tplc="0405000F">
      <w:start w:val="1"/>
      <w:numFmt w:val="decimal"/>
      <w:lvlText w:val="%2."/>
      <w:lvlJc w:val="left"/>
      <w:pPr>
        <w:tabs>
          <w:tab w:val="num" w:pos="1440"/>
        </w:tabs>
        <w:ind w:left="1440" w:hanging="360"/>
      </w:pPr>
      <w:rPr>
        <w:rFonts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0">
    <w:nsid w:val="6C235944"/>
    <w:multiLevelType w:val="hybridMultilevel"/>
    <w:tmpl w:val="A4587228"/>
    <w:lvl w:ilvl="0" w:tplc="4FFA7C5E">
      <w:start w:val="1"/>
      <w:numFmt w:val="bullet"/>
      <w:lvlText w:val=""/>
      <w:lvlJc w:val="left"/>
      <w:pPr>
        <w:tabs>
          <w:tab w:val="num" w:pos="1428"/>
        </w:tabs>
        <w:ind w:left="1428" w:hanging="360"/>
      </w:pPr>
      <w:rPr>
        <w:rFonts w:ascii="Symbol" w:hAnsi="Symbol"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1">
    <w:nsid w:val="6C247597"/>
    <w:multiLevelType w:val="hybridMultilevel"/>
    <w:tmpl w:val="E00E303A"/>
    <w:lvl w:ilvl="0" w:tplc="4E06C868">
      <w:start w:val="2"/>
      <w:numFmt w:val="decimal"/>
      <w:lvlText w:val="%1."/>
      <w:lvlJc w:val="left"/>
      <w:pPr>
        <w:tabs>
          <w:tab w:val="num" w:pos="786"/>
        </w:tabs>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2">
    <w:nsid w:val="702803AE"/>
    <w:multiLevelType w:val="hybridMultilevel"/>
    <w:tmpl w:val="79369D12"/>
    <w:lvl w:ilvl="0" w:tplc="E464817A">
      <w:start w:val="1"/>
      <w:numFmt w:val="lowerLetter"/>
      <w:lvlText w:val="%1."/>
      <w:lvlJc w:val="left"/>
      <w:pPr>
        <w:tabs>
          <w:tab w:val="num" w:pos="1440"/>
        </w:tabs>
        <w:ind w:left="1440" w:hanging="360"/>
      </w:pPr>
      <w:rPr>
        <w:rFonts w:hint="default"/>
      </w:rPr>
    </w:lvl>
    <w:lvl w:ilvl="1" w:tplc="04050019">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10"/>
  </w:num>
  <w:num w:numId="2">
    <w:abstractNumId w:val="1"/>
  </w:num>
  <w:num w:numId="3">
    <w:abstractNumId w:val="9"/>
  </w:num>
  <w:num w:numId="4">
    <w:abstractNumId w:val="12"/>
  </w:num>
  <w:num w:numId="5">
    <w:abstractNumId w:val="4"/>
  </w:num>
  <w:num w:numId="6">
    <w:abstractNumId w:val="16"/>
  </w:num>
  <w:num w:numId="7">
    <w:abstractNumId w:val="0"/>
  </w:num>
  <w:num w:numId="8">
    <w:abstractNumId w:val="3"/>
  </w:num>
  <w:num w:numId="9">
    <w:abstractNumId w:val="11"/>
  </w:num>
  <w:num w:numId="10">
    <w:abstractNumId w:val="22"/>
  </w:num>
  <w:num w:numId="11">
    <w:abstractNumId w:val="19"/>
  </w:num>
  <w:num w:numId="12">
    <w:abstractNumId w:val="15"/>
  </w:num>
  <w:num w:numId="13">
    <w:abstractNumId w:val="6"/>
  </w:num>
  <w:num w:numId="14">
    <w:abstractNumId w:val="13"/>
  </w:num>
  <w:num w:numId="15">
    <w:abstractNumId w:val="2"/>
  </w:num>
  <w:num w:numId="16">
    <w:abstractNumId w:val="14"/>
  </w:num>
  <w:num w:numId="17">
    <w:abstractNumId w:val="17"/>
  </w:num>
  <w:num w:numId="18">
    <w:abstractNumId w:val="5"/>
  </w:num>
  <w:num w:numId="19">
    <w:abstractNumId w:val="20"/>
  </w:num>
  <w:num w:numId="20">
    <w:abstractNumId w:val="7"/>
  </w:num>
  <w:num w:numId="21">
    <w:abstractNumId w:val="18"/>
  </w:num>
  <w:num w:numId="22">
    <w:abstractNumId w:val="8"/>
  </w:num>
  <w:num w:numId="23">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compat/>
  <w:rsids>
    <w:rsidRoot w:val="00F94FCD"/>
    <w:rsid w:val="000860D5"/>
    <w:rsid w:val="000B0961"/>
    <w:rsid w:val="001E1E70"/>
    <w:rsid w:val="004D7CA4"/>
    <w:rsid w:val="00543222"/>
    <w:rsid w:val="005615CE"/>
    <w:rsid w:val="00F94FCD"/>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aliases w:val="Text grey"/>
    <w:qFormat/>
    <w:rsid w:val="00F94FCD"/>
    <w:pPr>
      <w:spacing w:after="0" w:line="300" w:lineRule="exact"/>
      <w:jc w:val="both"/>
    </w:pPr>
    <w:rPr>
      <w:rFonts w:ascii="Arial" w:eastAsia="Times New Roman" w:hAnsi="Arial" w:cs="Times New Roman"/>
      <w:noProof/>
      <w:color w:val="000000"/>
      <w:szCs w:val="24"/>
      <w:lang w:eastAsia="cs-CZ"/>
    </w:rPr>
  </w:style>
  <w:style w:type="paragraph" w:styleId="Nadpis2">
    <w:name w:val="heading 2"/>
    <w:basedOn w:val="Normln"/>
    <w:next w:val="Normln"/>
    <w:link w:val="Nadpis2Char"/>
    <w:qFormat/>
    <w:rsid w:val="00F94FCD"/>
    <w:pPr>
      <w:keepNext/>
      <w:spacing w:before="1200" w:after="60"/>
      <w:outlineLvl w:val="1"/>
    </w:pPr>
    <w:rPr>
      <w:rFonts w:cs="Arial"/>
      <w:b/>
      <w:bCs/>
      <w:iCs/>
      <w:szCs w:val="28"/>
    </w:rPr>
  </w:style>
  <w:style w:type="paragraph" w:styleId="Nadpis4">
    <w:name w:val="heading 4"/>
    <w:basedOn w:val="Normln"/>
    <w:next w:val="Normln"/>
    <w:link w:val="Nadpis4Char"/>
    <w:qFormat/>
    <w:rsid w:val="00F94FCD"/>
    <w:pPr>
      <w:keepNext/>
      <w:jc w:val="center"/>
      <w:outlineLvl w:val="3"/>
    </w:pPr>
    <w:rPr>
      <w:rFonts w:cs="Arial"/>
      <w:b/>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F94FCD"/>
    <w:rPr>
      <w:rFonts w:ascii="Arial" w:eastAsia="Times New Roman" w:hAnsi="Arial" w:cs="Arial"/>
      <w:b/>
      <w:bCs/>
      <w:iCs/>
      <w:noProof/>
      <w:color w:val="000000"/>
      <w:szCs w:val="28"/>
      <w:lang w:eastAsia="cs-CZ"/>
    </w:rPr>
  </w:style>
  <w:style w:type="character" w:customStyle="1" w:styleId="Nadpis4Char">
    <w:name w:val="Nadpis 4 Char"/>
    <w:basedOn w:val="Standardnpsmoodstavce"/>
    <w:link w:val="Nadpis4"/>
    <w:rsid w:val="00F94FCD"/>
    <w:rPr>
      <w:rFonts w:ascii="Arial" w:eastAsia="Times New Roman" w:hAnsi="Arial" w:cs="Arial"/>
      <w:b/>
      <w:noProof/>
      <w:color w:val="000000"/>
      <w:lang w:eastAsia="cs-CZ"/>
    </w:rPr>
  </w:style>
  <w:style w:type="paragraph" w:styleId="Zpat">
    <w:name w:val="footer"/>
    <w:basedOn w:val="Normln"/>
    <w:link w:val="ZpatChar"/>
    <w:rsid w:val="00F94FCD"/>
    <w:pPr>
      <w:tabs>
        <w:tab w:val="center" w:pos="4536"/>
        <w:tab w:val="right" w:pos="9072"/>
      </w:tabs>
      <w:spacing w:line="180" w:lineRule="exact"/>
      <w:ind w:left="1077"/>
    </w:pPr>
    <w:rPr>
      <w:color w:val="003A63"/>
      <w:sz w:val="16"/>
      <w:szCs w:val="13"/>
    </w:rPr>
  </w:style>
  <w:style w:type="character" w:customStyle="1" w:styleId="ZpatChar">
    <w:name w:val="Zápatí Char"/>
    <w:basedOn w:val="Standardnpsmoodstavce"/>
    <w:link w:val="Zpat"/>
    <w:rsid w:val="00F94FCD"/>
    <w:rPr>
      <w:rFonts w:ascii="Arial" w:eastAsia="Times New Roman" w:hAnsi="Arial" w:cs="Times New Roman"/>
      <w:noProof/>
      <w:color w:val="003A63"/>
      <w:sz w:val="16"/>
      <w:szCs w:val="13"/>
      <w:lang w:eastAsia="cs-CZ"/>
    </w:rPr>
  </w:style>
  <w:style w:type="character" w:styleId="slostrnky">
    <w:name w:val="page number"/>
    <w:basedOn w:val="Standardnpsmoodstavce"/>
    <w:rsid w:val="00F94FCD"/>
  </w:style>
  <w:style w:type="character" w:styleId="Hypertextovodkaz">
    <w:name w:val="Hyperlink"/>
    <w:rsid w:val="00F94FCD"/>
    <w:rPr>
      <w:color w:val="0000FF"/>
      <w:u w:val="single"/>
    </w:rPr>
  </w:style>
  <w:style w:type="paragraph" w:styleId="Zkladntext">
    <w:name w:val="Body Text"/>
    <w:basedOn w:val="Normln"/>
    <w:link w:val="ZkladntextChar"/>
    <w:rsid w:val="00F94FCD"/>
    <w:pPr>
      <w:spacing w:line="240" w:lineRule="auto"/>
    </w:pPr>
    <w:rPr>
      <w:rFonts w:ascii="Times New Roman" w:hAnsi="Times New Roman"/>
      <w:noProof w:val="0"/>
      <w:color w:val="auto"/>
      <w:sz w:val="24"/>
    </w:rPr>
  </w:style>
  <w:style w:type="character" w:customStyle="1" w:styleId="ZkladntextChar">
    <w:name w:val="Základní text Char"/>
    <w:basedOn w:val="Standardnpsmoodstavce"/>
    <w:link w:val="Zkladntext"/>
    <w:rsid w:val="00F94FCD"/>
    <w:rPr>
      <w:rFonts w:ascii="Times New Roman" w:eastAsia="Times New Roman" w:hAnsi="Times New Roman" w:cs="Times New Roman"/>
      <w:sz w:val="24"/>
      <w:szCs w:val="24"/>
      <w:lang w:eastAsia="cs-CZ"/>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zcr.cz" TargetMode="External"/><Relationship Id="rId13" Type="http://schemas.openxmlformats.org/officeDocument/2006/relationships/header" Target="header1.xml"/><Relationship Id="rId18" Type="http://schemas.openxmlformats.org/officeDocument/2006/relationships/hyperlink" Target="mailto:podatelna@khsstc.cz"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mailto:hp@khsstc.cz" TargetMode="External"/><Relationship Id="rId7" Type="http://schemas.openxmlformats.org/officeDocument/2006/relationships/hyperlink" Target="mailto:sarka.novakova@khsstc.cz" TargetMode="External"/><Relationship Id="rId12" Type="http://schemas.openxmlformats.org/officeDocument/2006/relationships/hyperlink" Target="http://www.taboryinfo.cz/" TargetMode="External"/><Relationship Id="rId17" Type="http://schemas.openxmlformats.org/officeDocument/2006/relationships/image" Target="media/image3.emf"/><Relationship Id="rId25" Type="http://schemas.openxmlformats.org/officeDocument/2006/relationships/hyperlink" Target="mailto:hdm@khsstc.cz" TargetMode="External"/><Relationship Id="rId2" Type="http://schemas.openxmlformats.org/officeDocument/2006/relationships/styles" Target="styles.xml"/><Relationship Id="rId16" Type="http://schemas.openxmlformats.org/officeDocument/2006/relationships/image" Target="media/image2.png"/><Relationship Id="rId20" Type="http://schemas.openxmlformats.org/officeDocument/2006/relationships/hyperlink" Target="mailto:jana.kuldova@khsstc.cz" TargetMode="External"/><Relationship Id="rId1" Type="http://schemas.openxmlformats.org/officeDocument/2006/relationships/numbering" Target="numbering.xml"/><Relationship Id="rId6" Type="http://schemas.openxmlformats.org/officeDocument/2006/relationships/hyperlink" Target="mailto:info@khsstc.cz" TargetMode="External"/><Relationship Id="rId11" Type="http://schemas.openxmlformats.org/officeDocument/2006/relationships/hyperlink" Target="http://www.szu.cz/uploads/documents/chzp/voda/pdf/nouzvod.pdf" TargetMode="External"/><Relationship Id="rId24" Type="http://schemas.openxmlformats.org/officeDocument/2006/relationships/hyperlink" Target="mailto:hv@khsstc.cz" TargetMode="External"/><Relationship Id="rId5" Type="http://schemas.openxmlformats.org/officeDocument/2006/relationships/hyperlink" Target="http://www.khsstc.cz" TargetMode="External"/><Relationship Id="rId15" Type="http://schemas.openxmlformats.org/officeDocument/2006/relationships/footer" Target="footer2.xml"/><Relationship Id="rId23" Type="http://schemas.openxmlformats.org/officeDocument/2006/relationships/hyperlink" Target="mailto:epid@khsstc.cz" TargetMode="External"/><Relationship Id="rId10" Type="http://schemas.openxmlformats.org/officeDocument/2006/relationships/hyperlink" Target="http://www.khsstc.cz" TargetMode="External"/><Relationship Id="rId19" Type="http://schemas.openxmlformats.org/officeDocument/2006/relationships/hyperlink" Target="mailto:info@khsstc.cz" TargetMode="External"/><Relationship Id="rId4" Type="http://schemas.openxmlformats.org/officeDocument/2006/relationships/webSettings" Target="webSettings.xml"/><Relationship Id="rId9" Type="http://schemas.openxmlformats.org/officeDocument/2006/relationships/hyperlink" Target="http://www.mzcr.cz/Verejne/dokumenty/krajske-hygienicke-stanice_7735_1206_5.html" TargetMode="External"/><Relationship Id="rId14" Type="http://schemas.openxmlformats.org/officeDocument/2006/relationships/footer" Target="footer1.xml"/><Relationship Id="rId22" Type="http://schemas.openxmlformats.org/officeDocument/2006/relationships/hyperlink" Target="mailto:hok@khsstc.cz"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4149</Words>
  <Characters>24483</Characters>
  <Application>Microsoft Office Word</Application>
  <DocSecurity>0</DocSecurity>
  <Lines>204</Lines>
  <Paragraphs>57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28575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mt</dc:creator>
  <cp:lastModifiedBy>mt</cp:lastModifiedBy>
  <cp:revision>2</cp:revision>
  <dcterms:created xsi:type="dcterms:W3CDTF">2015-02-25T21:02:00Z</dcterms:created>
  <dcterms:modified xsi:type="dcterms:W3CDTF">2015-02-25T21:02:00Z</dcterms:modified>
</cp:coreProperties>
</file>